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41.png" ContentType="image/png"/>
  <Override PartName="/word/media/rId4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r>
        <w:pict>
          <v:rect style="width:0;height:1.5pt" o:hralign="center" o:hrstd="t" o:hr="t"/>
        </w:pict>
      </w:r>
    </w:p>
    <w:p>
      <w:pPr>
        <w:pStyle w:val="BlockText"/>
      </w:pPr>
      <w:r>
        <w:rPr>
          <w:b/>
        </w:rPr>
        <w:t xml:space="preserve">Abstract:</w:t>
      </w:r>
      <w:r>
        <w:t xml:space="preserve"> </w:t>
      </w:r>
      <w:r>
        <w:t xml:space="preserve">The current research project studies the relation between social capital and crime. Relevance, Research Question, Main Findings</w:t>
      </w:r>
    </w:p>
    <w:p>
      <w:r>
        <w:pict>
          <v:rect style="width:0;height:1.5pt" o:hralign="center" o:hrstd="t" o:hr="t"/>
        </w:pict>
      </w:r>
    </w:p>
    <w:p>
      <w:pPr>
        <w:pStyle w:val="Heading1"/>
      </w:pPr>
      <w:bookmarkStart w:id="21" w:name="introduction"/>
      <w:bookmarkEnd w:id="21"/>
      <w:r>
        <w:t xml:space="preserve">Introduction</w:t>
      </w:r>
    </w:p>
    <w:p>
      <w:pPr>
        <w:pStyle w:val="FirstParagraph"/>
      </w:pPr>
      <w:r>
        <w:t xml:space="preserve">Most of crime studies are based on the rational choice assumptions of legal and criminal returns and the importance of deterrence to reduce criminal behaviours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1"/>
      </w:pPr>
      <w:bookmarkStart w:id="22" w:name="theory"/>
      <w:bookmarkEnd w:id="22"/>
      <w:r>
        <w:t xml:space="preserve">Theory</w:t>
      </w:r>
    </w:p>
    <w:p>
      <w:pPr>
        <w:pStyle w:val="FirstParagraph"/>
      </w:pPr>
      <w:r>
        <w:t xml:space="preserve">Social capital can be summarised as the links, shared values, and understandings in society that enable individuals and groups to trust each other and so work as a group to overcome collective action problems</w:t>
      </w:r>
      <w:r>
        <w:t xml:space="preserve"> </w:t>
      </w:r>
      <w:r>
        <w:t xml:space="preserve">(OECD 2012)</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civic participation, reciprocity and trust, social networks, and social support and views of the local areas</w:t>
      </w:r>
      <w:r>
        <w:t xml:space="preserve"> </w:t>
      </w:r>
      <w:r>
        <w:t xml:space="preserve">(Whiting and Harper 2003)</w:t>
      </w:r>
      <w:r>
        <w:t xml:space="preserve">. Putnam</w:t>
      </w:r>
      <w:r>
        <w:t xml:space="preserve"> </w:t>
      </w:r>
      <w:r>
        <w:t xml:space="preserve">(2001)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w:t>
      </w:r>
    </w:p>
    <w:p>
      <w:pPr>
        <w:pStyle w:val="BodyText"/>
      </w:pPr>
      <w:r>
        <w:t xml:space="preserve">     Furthermore, among other forms of political participation, he describes voting, political knowledge and interest, party identification, and involvements in political campaigns as subcategories of civic participation. Other types of participation include membership and attendance, as well as involvement in charity, religious and community associations. However, Putnam also recognises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because networks and institutions are dysfunctional.</w:t>
      </w:r>
    </w:p>
    <w:p>
      <w:pPr>
        <w:pStyle w:val="BodyText"/>
      </w:pPr>
      <w:r>
        <w:t xml:space="preserve">     The causal link between social capital and crime follows the logic of social disorganisation theory</w:t>
      </w:r>
      <w:r>
        <w:t xml:space="preserve"> </w:t>
      </w:r>
      <w:r>
        <w:t xml:space="preserve">(Messner, Baumer, and Rosenfeld 2004)</w:t>
      </w:r>
      <w:r>
        <w:t xml:space="preserve">. Hence, disorganised communities present high levels of economic deprivation, residential instability, and population heterogeneity, making it harder to develop the primary and secondary social networks among individuals and between communities. Thus, the given community suffers from a chronic incapacity to exert social control, especially over criminal behaviour of young adult populations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favour destructive forms of bounding social capital, like criminal organisations, that may emerge in response to absent of other forms of linking social capital.</w:t>
      </w:r>
    </w:p>
    <w:p>
      <w:pPr>
        <w:pStyle w:val="BodyText"/>
      </w:pPr>
      <w:r>
        <w:t xml:space="preserve">     Crime and the disruption it brings to the communities are one of the main determinants of individual well-being. Therefore, we are interested in responding to the question: how does social capital in a given community determine the level of violent crime? Our main hypothesis is that the more social capital a community has, the less crime there would be observed as a result of its collective action mechanisms. Thus, we expect to observe that communities with anomic symptoms will tend to have more crime.</w:t>
      </w:r>
    </w:p>
    <w:p>
      <w:pPr>
        <w:pStyle w:val="BodyText"/>
      </w:pPr>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organisations only impact violent crime levels depending on the type of religious and social organisation engaged with. Additionally, Hanslaimer</w:t>
      </w:r>
      <w:r>
        <w:t xml:space="preserve"> </w:t>
      </w:r>
      <w:r>
        <w:t xml:space="preserve">(Hanslmaier 2015)</w:t>
      </w:r>
      <w:r>
        <w:t xml:space="preserve"> </w:t>
      </w:r>
      <w:r>
        <w:t xml:space="preserve">showed that altruism has generally a negative effect on violent crimes, but other indicators of social capital only proved to be related to other types of high impact crime and not to violent crime.</w:t>
      </w:r>
    </w:p>
    <w:p>
      <w:pPr>
        <w:pStyle w:val="BodyText"/>
      </w:pPr>
      <w:r>
        <w:t xml:space="preserve">     In our analysis we expect to observe that in societies with anomic and disorganisation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w:t>
      </w:r>
      <w:r>
        <w:t xml:space="preserve"> </w:t>
      </w:r>
      <w:r>
        <w:t xml:space="preserve">(Hanslmaier 2015)</w:t>
      </w:r>
      <w:r>
        <w:t xml:space="preserve">. Disintegration of members of the community weakens social cohesion and promotes individualism that might end in disruptive competition, fostering feelings of status insecurity within a community. Moreover, certain social milieus tend to be more vulnerable and respond therefore with violence, e.g. young male adults are more prone to commit violent crimes. In addition, social capital provides means for informal punishment within a given community. Therefore more social capital leads to more abiding to social norms. In contrast, communities that lack social capital can merely punish norm diverging behaviour informally to a lesser extent and therefore are expected to have higher crime</w:t>
      </w:r>
      <w:r>
        <w:t xml:space="preserve"> </w:t>
      </w:r>
      <w:r>
        <w:t xml:space="preserve">(Lederman, Loayza, and Menedez 2002)</w:t>
      </w:r>
      <w:r>
        <w:t xml:space="preserve">.</w:t>
      </w:r>
    </w:p>
    <w:p>
      <w:pPr>
        <w:pStyle w:val="BodyText"/>
      </w:pPr>
      <w:r>
        <w:t xml:space="preserve">     Social capital is, as mentioned above, a multi-dimensional concept that consists of "varios social elements that promote individual and collective action"</w:t>
      </w:r>
      <w:r>
        <w:t xml:space="preserve"> </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organisations, attitudes of civil action, and the sense of membership to the community</w:t>
      </w:r>
      <w:r>
        <w:t xml:space="preserve"> </w:t>
      </w:r>
      <w:r>
        <w:t xml:space="preserve">(Lederman, Loayza, and Menedez 2002)</w:t>
      </w:r>
      <w:r>
        <w:t xml:space="preserve">. This proves that there is no single indicator comprehensive enough to capture the vast spectrum of social capital, but jointly they are able to approximate this complex concept.</w:t>
      </w:r>
    </w:p>
    <w:p>
      <w:pPr>
        <w:pStyle w:val="BodyText"/>
      </w:pPr>
      <w:r>
        <w:t xml:space="preserve">     Even more complex is the relation between social capital and crime, since the causal connection between the two may go in both directions, meaning that crime also can impact social capital. Higher crime could alter community ties and decrease social capital, it could also facilitate the creation of social capital by promoting community engagement in tackling crime. Moreover, the presence of crime, especially, violent crime like homicides, might reduce social capital disrupting trust among members of the community and might create more by bringing people together to fight crime</w:t>
      </w:r>
      <w:r>
        <w:t xml:space="preserve"> </w:t>
      </w:r>
      <w:r>
        <w:t xml:space="preserve">(Lederman, Loayza, and Menedez 2002)</w:t>
      </w:r>
      <w:r>
        <w:t xml:space="preserve">.</w:t>
      </w:r>
    </w:p>
    <w:p>
      <w:pPr>
        <w:pStyle w:val="BodyText"/>
      </w:pPr>
      <w:r>
        <w:t xml:space="preserve">     Besides studying the relation between crime and social capital, there are some empirical and methodological difficulties. Bunonanno and Montolio</w:t>
      </w:r>
      <w:r>
        <w:t xml:space="preserve"> </w:t>
      </w:r>
      <w:r>
        <w:t xml:space="preserve">(2009)</w:t>
      </w:r>
      <w:r>
        <w:t xml:space="preserve"> </w:t>
      </w:r>
      <w:r>
        <w:t xml:space="preserve">state that among the most recurrent methodological problems when studying this relationship are omitted variables bias, measurement errors, endogeneity, and spatial correlation. Furthermore, crimes counts and rates depend mostly on crimes reported by police, which has a high variance across types of crimes and space and also might be positively correlated with social capital</w:t>
      </w:r>
      <w:r>
        <w:t xml:space="preserve"> </w:t>
      </w:r>
      <w:r>
        <w:t xml:space="preserve">(Buonanno and Montolio 2009)</w:t>
      </w:r>
      <w:r>
        <w:t xml:space="preserve">.</w:t>
      </w:r>
    </w:p>
    <w:p>
      <w:pPr>
        <w:pStyle w:val="BodyText"/>
      </w:pPr>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the level of trust across community members and encourage more altruistic behaviours among them. Furthermore, social capital investment might be more cost-efficient compared to more aggressive policing strategies, which effects tend to be perceived only in the more immediate time, whereas social capital investments and their effects might stretch out for a longer period of time.</w:t>
      </w:r>
    </w:p>
    <w:p>
      <w:pPr>
        <w:pStyle w:val="Heading1"/>
      </w:pPr>
      <w:bookmarkStart w:id="23" w:name="data"/>
      <w:bookmarkEnd w:id="23"/>
      <w:r>
        <w:t xml:space="preserve">Data</w:t>
      </w:r>
    </w:p>
    <w:p>
      <w:pPr>
        <w:pStyle w:val="Heading2"/>
      </w:pPr>
      <w:bookmarkStart w:id="24" w:name="data-sources"/>
      <w:bookmarkEnd w:id="24"/>
      <w:r>
        <w:t xml:space="preserve">Data sources:</w:t>
      </w:r>
    </w:p>
    <w:p>
      <w:pPr>
        <w:pStyle w:val="FirstParagraph"/>
      </w:pPr>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Heading2"/>
      </w:pPr>
      <w:bookmarkStart w:id="25" w:name="data-gathering-process"/>
      <w:bookmarkEnd w:id="25"/>
      <w:r>
        <w:t xml:space="preserve">Data gathering process</w:t>
      </w:r>
    </w:p>
    <w:p>
      <w:pPr>
        <w:pStyle w:val="FirstParagraph"/>
      </w:pPr>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in the meantime - which can be performed by assigning a unique SHA1 hash to data sets.</w:t>
      </w:r>
    </w:p>
    <w:p>
      <w:pPr>
        <w:pStyle w:val="BodyText"/>
      </w:pPr>
      <w:r>
        <w:t xml:space="preserve">      Crime data was compiled through a stable link for the PKS statistics directly from their website. The required socio economic data for all 402 German districts is publicly available through the Regional Database Germany and it is published by the Federal Statistical Office and the statistical Offices of the Federal States (</w:t>
      </w:r>
      <w:r>
        <w:rPr>
          <w:i/>
        </w:rPr>
        <w:t xml:space="preserve">Laender</w:t>
      </w:r>
      <w:r>
        <w:t xml:space="preserve">). However, it is not possible to source the application programming interface (API) from the website, since it is only reserved for registered users. The API required a session IDs to be included into the link to the respective data tables. This prevented us from gathering the data dynamically. Therefore all socio economic data was downloaded manually and store into csv files, then consequentially used for the statistical analyses without any prior manipulation.</w:t>
      </w:r>
    </w:p>
    <w:p>
      <w:pPr>
        <w:pStyle w:val="BodyText"/>
      </w:pPr>
      <w:r>
        <w:t xml:space="preserve">     The data provided by the German Federal Foundations Association is contained in a pdf file available in their web page. First, we needed to download the pdf file, then extract the data manually to an excel spreadsheet and finally process it into the statistical analysis.</w:t>
      </w:r>
    </w:p>
    <w:p>
      <w:pPr>
        <w:pStyle w:val="Heading2"/>
      </w:pPr>
      <w:bookmarkStart w:id="26" w:name="dependent-variable"/>
      <w:bookmarkEnd w:id="26"/>
      <w:r>
        <w:t xml:space="preserve">Dependent Variable</w:t>
      </w:r>
    </w:p>
    <w:p>
      <w:pPr>
        <w:pStyle w:val="FirstParagraph"/>
      </w:pPr>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The last census took place in Germany in the year 2011, since then merely few estimations regarding socio economic indicators at the regional level (districts) have been updated.</w:t>
      </w:r>
    </w:p>
    <w:p>
      <w:pPr>
        <w:pStyle w:val="BodyText"/>
      </w:pPr>
      <w:r>
        <w:t xml:space="preserve">     Crime data is also disaggregated regarding the type of offence. One limitation to this statistics, however, is that they fail to account for the dark figure of crime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Focusing mainly on crimes that disrupt communities the most, we expect a high level of reporting and this reporting to be consistently high across different types of the most disruptive crimes like murders.</w:t>
      </w:r>
    </w:p>
    <w:p>
      <w:pPr>
        <w:pStyle w:val="BodyText"/>
      </w:pPr>
      <w:r>
        <w:t xml:space="preserve">     It is possible to focus only on one type of crime as our variable of interest, but also to aggregate different types of crime into one single category First we are considering only two categories of crime: violent and non-violent crime. These two measures of crime follow a simple addition method, including in each of them their respective fitting crimes.</w:t>
      </w:r>
    </w:p>
    <w:p>
      <w:pPr>
        <w:pStyle w:val="BodyText"/>
      </w:pPr>
      <w:r>
        <w:t xml:space="preserve">     Furthermore, given the limitations of our data we have to assume that this cross-sectional data for district crime are a simple count of independent events. In addition, we are more interested in those types of crimes that disrupt a community the most. Thus, our main variable of interest is murder. There are two ways to see and analyse the occurrence of murders. In terms of its frequency, e.g. count of occurrences per district in a year, or, for easier comparison purposes, in terms of murders per population by district.</w:t>
      </w:r>
    </w:p>
    <w:p>
      <w:pPr>
        <w:pStyle w:val="BodyText"/>
      </w:pPr>
      <w:r>
        <w:drawing>
          <wp:inline>
            <wp:extent cx="5334000" cy="5334000"/>
            <wp:effectExtent b="0" l="0" r="0" t="0"/>
            <wp:docPr descr="" id="1" name="Picture"/>
            <a:graphic>
              <a:graphicData uri="http://schemas.openxmlformats.org/drawingml/2006/picture">
                <pic:pic>
                  <pic:nvPicPr>
                    <pic:cNvPr descr="Final_Project_files/figure-docx/MapDt-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8" w:name="independent-variables"/>
      <w:bookmarkEnd w:id="28"/>
      <w:r>
        <w:t xml:space="preserve">Independent Variables</w:t>
      </w:r>
    </w:p>
    <w:p>
      <w:pPr>
        <w:pStyle w:val="FirstParagraph"/>
      </w:pPr>
      <w:r>
        <w:t xml:space="preserve">As mentioned above, all socio economic data is provided by the Federal Statistical Office and the statistical Offices of the Laender. The multi-dimensional characteristic of social capital allows us to use a wide range of indicators to operationalise the effect of this complex concept. Due to data availability restrictions we use only three indicators to measure social capital as an independent variable in our analysis.</w:t>
      </w:r>
    </w:p>
    <w:p>
      <w:pPr>
        <w:pStyle w:val="BodyText"/>
      </w:pPr>
      <w:r>
        <w:t xml:space="preserve">     First, we used the data on foundations density in per district as an indicator of community engagement. Foundation density is an indicator of the total number of foundations in each German district divided by 100 thousand inhabitants. The underlining assumption behind engagement in the community and its implication for crime lies in its potential negative relation. Thus, the higher the foundation density is per inhabitants in a district, the lower the level of reported crime.</w:t>
      </w:r>
    </w:p>
    <w:p>
      <w:pPr>
        <w:pStyle w:val="BodyText"/>
      </w:pPr>
      <w:r>
        <w:t xml:space="preserve">     A second indicator for social capital we used was the total flow of migrants coming in and out of each district during 2013.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pPr>
        <w:pStyle w:val="BodyText"/>
      </w:pPr>
      <w:r>
        <w:t xml:space="preserve">     The third dimension of social capital we tried to measure was the civil participation within a community. We then looked at the voting turnout during the federal elections of 2013 in Germany to estimate the effect of social capital on crime through the participation of community members in policy decisions when deciding on their next government. We therefore assume a negative relation between crime and voting turnout. Hence, when voting turnout increases, reported crime levels decrease in a district.</w:t>
      </w:r>
    </w:p>
    <w:p>
      <w:pPr>
        <w:pStyle w:val="BodyText"/>
      </w:pPr>
      <w:r>
        <w:t xml:space="preserve">     Moreover, we need district level data for other variables to control for local heterogeneity of the population. We want to control for factors that potentially influence the probability of committing a crime. First, unemployment changes the opportunity costs of punishment, i.e. imprisonment. In addition, we want to control for a district's population composition regarding age (younger people have a higher probability of being involved in crimes) and gender (male people are found to be more prone to perpetrate crimes).</w:t>
      </w:r>
    </w:p>
    <w:p>
      <w:pPr>
        <w:pStyle w:val="BodyText"/>
      </w:pPr>
      <w:r>
        <w:t xml:space="preserve">     Additional to the gender and age variables included, when accounting for community heterogeneity we included the total count of foreigners living in a district. The data containing this information was also gathered from the Federal Statistical Office for the year 2013.</w:t>
      </w:r>
    </w:p>
    <w:p>
      <w:pPr>
        <w:pStyle w:val="BodyText"/>
      </w:pPr>
      <w:r>
        <w:t xml:space="preserve">     Then, we also control for number of marriages based on the information available from the census in 2011 described as registered partnerships in a district. There are reasons to believe that communities with higher marriages rates frequently show higher levels of social capital. Including this control indicator allow us to control for the structure of a given community.</w:t>
      </w:r>
    </w:p>
    <w:p>
      <w:pPr>
        <w:pStyle w:val="BodyText"/>
      </w:pPr>
      <w:r>
        <w:t xml:space="preserve">     Furthermore, we take into consideration the size of the population in a district. Including such a control variable, allows to capture the effect of the population size of a district, making it easier to compare across sections. In terms of the estimated coefficients related to this control variable, a positive sign indicates that more crimes are perpetrated in districts with more population.</w:t>
      </w:r>
    </w:p>
    <w:p>
      <w:pPr>
        <w:pStyle w:val="BodyText"/>
      </w:pPr>
      <w:r>
        <w:t xml:space="preserve">     In addition we included a dummy variable for districts of former East and West Germany. This distinction might prove useful to control for different socialisation processes of citizens under different institutional regimes during longer periods of time: it might be the case that specific institutional factors have shaped the process of social capital formation. Former West Germany is coded as 1 and former East Germany is coded as 2. Berlin is coded as 2 for two reasons. First it was not officially listed as one of the German Laender ("Berlin Frage"). Second it is deemed to be distinct from former West Germany.</w:t>
      </w:r>
    </w:p>
    <w:p>
      <w:pPr>
        <w:pStyle w:val="Heading2"/>
      </w:pPr>
      <w:bookmarkStart w:id="29" w:name="optimal-data-set"/>
      <w:bookmarkEnd w:id="29"/>
      <w:r>
        <w:t xml:space="preserve">Optimal data set</w:t>
      </w:r>
    </w:p>
    <w:p>
      <w:pPr>
        <w:pStyle w:val="FirstParagraph"/>
      </w:pPr>
      <w:r>
        <w:t xml:space="preserve">Throughout the analysis we face severe data constraints that inhibit an in depth analysis of the theoretical relationship. An optimal data set, however, would have the following characteristics.</w:t>
      </w:r>
    </w:p>
    <w:p>
      <w:pPr>
        <w:pStyle w:val="BodyText"/>
      </w:pPr>
      <w:r>
        <w:t xml:space="preserve">     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p>
    <w:p>
      <w:pPr>
        <w:pStyle w:val="BodyText"/>
      </w:pPr>
      <w:r>
        <w:t xml:space="preserve">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p>
    <w:p>
      <w:pPr>
        <w:pStyle w:val="BodyText"/>
      </w:pPr>
      <w:r>
        <w:t xml:space="preserve">     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1"/>
      </w:pPr>
      <w:bookmarkStart w:id="30" w:name="methodology-and-analysis"/>
      <w:bookmarkEnd w:id="30"/>
      <w:r>
        <w:t xml:space="preserve">Methodology and analysis</w:t>
      </w:r>
    </w:p>
    <w:p>
      <w:pPr>
        <w:pStyle w:val="Heading2"/>
      </w:pPr>
      <w:bookmarkStart w:id="31" w:name="criteria-for-model-selection"/>
      <w:bookmarkEnd w:id="31"/>
      <w:r>
        <w:t xml:space="preserve">Criteria for model selection</w:t>
      </w:r>
    </w:p>
    <w:p>
      <w:pPr>
        <w:pStyle w:val="FirstParagraph"/>
      </w:pPr>
      <w:r>
        <w:t xml:space="preserve">For this research, we have conducted a cross-district study to estimate the relation of different indicators of social capital - engagement in the community, political participation and community stability - and the incidence of violent and non-violent crime, with specific focus on murders.</w:t>
      </w:r>
    </w:p>
    <w:p>
      <w:pPr>
        <w:pStyle w:val="BodyText"/>
      </w:pPr>
      <w:r>
        <w:drawing>
          <wp:inline>
            <wp:extent cx="5334000" cy="4267200"/>
            <wp:effectExtent b="0" l="0" r="0" t="0"/>
            <wp:docPr descr="" id="1" name="Picture"/>
            <a:graphic>
              <a:graphicData uri="http://schemas.openxmlformats.org/drawingml/2006/picture">
                <pic:pic>
                  <pic:nvPicPr>
                    <pic:cNvPr descr="Final_Project_files/figure-docx/histogramMurd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When considering the frequency of occurrences of crimes, as in the case of our analysis with murders, we are interested in the distribution of observations per unit. However, some crimes like homicide are very rare, and when the average counts are small, the distribution of outcomes is skewed to the right. Such a skewed distribution might cause that an ordinary least square (OLS) regression analysis that assumes a normal distribution in the error terms around the expected average is simply not appropriate</w:t>
      </w:r>
      <w:r>
        <w:t xml:space="preserve"> </w:t>
      </w:r>
      <w:r>
        <w:t xml:space="preserve">(Macdonald and Lattimore 2011)</w:t>
      </w:r>
      <w:r>
        <w:t xml:space="preserve">. Thus, our analysis requires a different method, based on another type of distribution. The appropriate distribution is the Poisson distribution, which is unimodal and skewed to the right. It is represented by a single parameter</w:t>
      </w:r>
      <w:r>
        <w:t xml:space="preserve"> </w:t>
      </w:r>
      <m:oMath>
        <m:r>
          <m:rPr/>
          <m:t>λ</m:t>
        </m:r>
        <m:r>
          <m:rPr/>
          <m:t>&gt;</m:t>
        </m:r>
        <m:r>
          <m:rPr/>
          <m:t>0</m:t>
        </m:r>
      </m:oMath>
      <w:r>
        <w:t xml:space="preserve">, meaning that its mean and variance are identical:</w:t>
      </w:r>
      <w:r>
        <w:t xml:space="preserve"> </w:t>
      </w:r>
      <m:oMath>
        <m:r>
          <m:rPr/>
          <m:t>E</m:t>
        </m:r>
        <m:r>
          <m:rPr/>
          <m:t>(</m:t>
        </m:r>
        <m:r>
          <m:rPr/>
          <m:t>Y</m:t>
        </m:r>
        <m:r>
          <m:rPr/>
          <m:t>)</m:t>
        </m:r>
        <m:r>
          <m:rPr/>
          <m:t>=</m:t>
        </m:r>
        <m:r>
          <m:rPr/>
          <m:t>V</m:t>
        </m:r>
        <m:r>
          <m:rPr/>
          <m:t>a</m:t>
        </m:r>
        <m:r>
          <m:rPr/>
          <m:t>r</m:t>
        </m:r>
        <m:r>
          <m:rPr/>
          <m:t>(</m:t>
        </m:r>
        <m:r>
          <m:rPr/>
          <m:t>Y</m:t>
        </m:r>
        <m:r>
          <m:rPr/>
          <m:t>)</m:t>
        </m:r>
        <m:r>
          <m:rPr/>
          <m:t>=</m:t>
        </m:r>
        <m:r>
          <m:rPr/>
          <m:t>λ</m:t>
        </m:r>
      </m:oMath>
      <w:r>
        <w:t xml:space="preserve">. The more simple Poisson formulation is:</w:t>
      </w:r>
    </w:p>
    <w:p>
      <w:pPr>
        <w:pStyle w:val="BodyText"/>
      </w:pPr>
      <m:oMathPara>
        <m:oMathParaPr>
          <m:jc m:val="center"/>
        </m:oMathParaPr>
        <m:oMath>
          <m:r>
            <m:rPr/>
            <m:t>P</m:t>
          </m:r>
          <m:r>
            <m:rPr/>
            <m:t>r</m:t>
          </m:r>
          <m:r>
            <m:rPr/>
            <m:t>(</m:t>
          </m:r>
          <m:r>
            <m:rPr/>
            <m:t>Y</m:t>
          </m:r>
          <m:r>
            <m:rPr/>
            <m:t>|</m:t>
          </m:r>
          <m:r>
            <m:rPr/>
            <m:t>λ</m:t>
          </m:r>
          <m:r>
            <m:rPr/>
            <m:t>)</m:t>
          </m:r>
          <m:r>
            <m:rPr/>
            <m:t>=</m:t>
          </m:r>
          <m:f>
            <m:fPr>
              <m:type m:val="bar"/>
            </m:fPr>
            <m:num>
              <m:sSup>
                <m:e>
                  <m:r>
                    <m:rPr/>
                    <m:t>e</m:t>
                  </m:r>
                </m:e>
                <m:sup>
                  <m:r>
                    <m:rPr/>
                    <m:t>−</m:t>
                  </m:r>
                  <m:r>
                    <m:rPr/>
                    <m:t>λ</m:t>
                  </m:r>
                </m:sup>
              </m:sSup>
              <m:sSup>
                <m:e>
                  <m:r>
                    <m:rPr/>
                    <m:t>λ</m:t>
                  </m:r>
                </m:e>
                <m:sup>
                  <m:r>
                    <m:rPr/>
                    <m:t>Y</m:t>
                  </m:r>
                </m:sup>
              </m:sSup>
            </m:num>
            <m:den>
              <m:r>
                <m:rPr/>
                <m:t>Y</m:t>
              </m:r>
              <m:r>
                <m:rPr/>
                <m:t>!</m:t>
              </m:r>
            </m:den>
          </m:f>
        </m:oMath>
      </m:oMathPara>
    </w:p>
    <w:p>
      <w:pPr>
        <w:pStyle w:val="BodyText"/>
      </w:pPr>
      <w:r>
        <w:t xml:space="preserve">for Y=0,1,2,3,4,5,... Where Y is the outcome represented by a count and</w:t>
      </w:r>
      <w:r>
        <w:t xml:space="preserve"> </w:t>
      </w:r>
      <m:oMath>
        <m:r>
          <m:rPr/>
          <m:t>λ</m:t>
        </m:r>
      </m:oMath>
      <w:r>
        <w:t xml:space="preserve"> </w:t>
      </w:r>
      <w:r>
        <w:t xml:space="preserve">is the parameter representing the expected probability of the count (e.g. count of crimes) according to a Poisson distribution. For crime analysis we are interested to know what is that predicts the number of crime counts taking into consideration the probability of outcome occurrences through a Poisson distribution</w:t>
      </w:r>
      <w:r>
        <w:t xml:space="preserve"> </w:t>
      </w:r>
      <w:r>
        <w:t xml:space="preserve">(Macdonald and Lattimore 2011)</w:t>
      </w:r>
      <w:r>
        <w:t xml:space="preserve">.</w:t>
      </w:r>
    </w:p>
    <w:p>
      <w:pPr>
        <w:pStyle w:val="BodyText"/>
      </w:pPr>
      <w:r>
        <w:t xml:space="preserve">     Nevertheless, if we include additional predictors then we have to use the approach proposed by econometricians who expanded the Poisson probability distribution into a set of generalised linear models (GLM). Hence, this method is particularly useful when explaining the expected response variable as counts (</w:t>
      </w:r>
      <m:oMath>
        <m:r>
          <m:rPr/>
          <m:t>E</m:t>
        </m:r>
        <m:r>
          <m:rPr/>
          <m:t>(</m:t>
        </m:r>
        <m:r>
          <m:rPr/>
          <m:t>Y</m:t>
        </m:r>
        <m:r>
          <m:rPr/>
          <m:t>=</m:t>
        </m:r>
        <m:r>
          <m:rPr/>
          <m:t>c</m:t>
        </m:r>
        <m:r>
          <m:rPr/>
          <m:t>r</m:t>
        </m:r>
        <m:r>
          <m:rPr/>
          <m:t>i</m:t>
        </m:r>
        <m:r>
          <m:rPr/>
          <m:t>m</m:t>
        </m:r>
        <m:r>
          <m:rPr/>
          <m:t>e</m:t>
        </m:r>
        <m:r>
          <m:rPr/>
          <m:t>c</m:t>
        </m:r>
        <m:r>
          <m:rPr/>
          <m:t>o</m:t>
        </m:r>
        <m:r>
          <m:rPr/>
          <m:t>u</m:t>
        </m:r>
        <m:r>
          <m:rPr/>
          <m:t>n</m:t>
        </m:r>
        <m:r>
          <m:rPr/>
          <m:t>t</m:t>
        </m:r>
        <m:r>
          <m:rPr/>
          <m:t>s</m:t>
        </m:r>
        <m:r>
          <m:rPr/>
          <m:t>|</m:t>
        </m:r>
        <m:r>
          <m:rPr/>
          <m:t>λ</m:t>
        </m:r>
        <m:r>
          <m:rPr/>
          <m:t>)</m:t>
        </m:r>
      </m:oMath>
      <w:r>
        <w:t xml:space="preserve">) by a set of independent variables (</w:t>
      </w:r>
      <m:oMath>
        <m:r>
          <m:rPr/>
          <m:t>X</m:t>
        </m:r>
        <m:r>
          <m:rPr/>
          <m:t>′</m:t>
        </m:r>
      </m:oMath>
      <w:r>
        <w:t xml:space="preserve">) and when assuming a linear relationship between outcomes and predictors (</w:t>
      </w:r>
      <m:oMath>
        <m:r>
          <m:rPr/>
          <m:t>E</m:t>
        </m:r>
        <m:r>
          <m:rPr/>
          <m:t>(</m:t>
        </m:r>
        <m:r>
          <m:rPr/>
          <m:t>Y</m:t>
        </m:r>
        <m:r>
          <m:rPr/>
          <m:t>|</m:t>
        </m:r>
        <m:r>
          <m:rPr/>
          <m:t>λ</m:t>
        </m:r>
        <m:r>
          <m:rPr/>
          <m:t>=</m:t>
        </m:r>
        <m:r>
          <m:rPr/>
          <m:t>x</m:t>
        </m:r>
        <m:r>
          <m:rPr/>
          <m:t>´</m:t>
        </m:r>
        <m:r>
          <m:rPr/>
          <m:t>β</m:t>
        </m:r>
        <m:r>
          <m:rPr/>
          <m:t>)</m:t>
        </m:r>
      </m:oMath>
      <w:r>
        <w:t xml:space="preserve">). The GLM formulation is:</w:t>
      </w:r>
    </w:p>
    <w:p>
      <w:pPr>
        <w:pStyle w:val="BodyText"/>
      </w:pPr>
      <m:oMathPara>
        <m:oMathParaPr>
          <m:jc m:val="center"/>
        </m:oMathParaPr>
        <m:oMath>
          <m:r>
            <m:rPr/>
            <m:t>P</m:t>
          </m:r>
          <m:r>
            <m:rPr/>
            <m:t>r</m:t>
          </m:r>
          <m:r>
            <m:rPr/>
            <m:t>(</m:t>
          </m:r>
          <m:r>
            <m:rPr/>
            <m:t>Y</m:t>
          </m:r>
          <m:r>
            <m:rPr/>
            <m:t>|</m:t>
          </m:r>
          <m:r>
            <m:rPr/>
            <m:t>X</m:t>
          </m:r>
          <m:r>
            <m:rPr/>
            <m:t>′</m:t>
          </m:r>
          <m:r>
            <m:rPr/>
            <m:t>,</m:t>
          </m:r>
          <m:r>
            <m:rPr/>
            <m:t>μ</m:t>
          </m:r>
          <m:r>
            <m:rPr/>
            <m:t>)</m:t>
          </m:r>
          <m:r>
            <m:rPr/>
            <m:t>=</m:t>
          </m:r>
          <m:f>
            <m:fPr>
              <m:type m:val="bar"/>
            </m:fPr>
            <m:num>
              <m:sSup>
                <m:e>
                  <m:r>
                    <m:rPr/>
                    <m:t>e</m:t>
                  </m:r>
                </m:e>
                <m:sup>
                  <m:r>
                    <m:rPr/>
                    <m:t>−</m:t>
                  </m:r>
                  <m:r>
                    <m:rPr/>
                    <m:t>μ</m:t>
                  </m:r>
                </m:sup>
              </m:sSup>
              <m:sSup>
                <m:e>
                  <m:r>
                    <m:rPr/>
                    <m:t>μ</m:t>
                  </m:r>
                </m:e>
                <m:sup>
                  <m:r>
                    <m:rPr/>
                    <m:t>Y</m:t>
                  </m:r>
                </m:sup>
              </m:sSup>
            </m:num>
            <m:den>
              <m:r>
                <m:rPr/>
                <m:t>Y</m:t>
              </m:r>
              <m:r>
                <m:rPr/>
                <m:t>!</m:t>
              </m:r>
            </m:den>
          </m:f>
        </m:oMath>
      </m:oMathPara>
    </w:p>
    <w:p>
      <w:pPr>
        <w:pStyle w:val="BodyText"/>
      </w:pPr>
      <w:r>
        <w:t xml:space="preserve">where the parameter</w:t>
      </w:r>
      <w:r>
        <w:t xml:space="preserve"> </w:t>
      </w:r>
      <m:oMath>
        <m:r>
          <m:rPr/>
          <m:t>μ</m:t>
        </m:r>
      </m:oMath>
      <w:r>
        <w:t xml:space="preserve"> </w:t>
      </w:r>
      <w:r>
        <w:t xml:space="preserve">captures the distribution of observed outcomes (Y) that are still Poisson</w:t>
      </w:r>
      <w:r>
        <w:t xml:space="preserve"> </w:t>
      </w:r>
      <w:r>
        <w:t xml:space="preserve">(Macdonald and Lattimore 2011)</w:t>
      </w:r>
      <w:r>
        <w:t xml:space="preserve">.</w:t>
      </w:r>
    </w:p>
    <w:p>
      <w:pPr>
        <w:pStyle w:val="Heading2"/>
      </w:pPr>
      <w:bookmarkStart w:id="33" w:name="model-assumptions"/>
      <w:bookmarkEnd w:id="33"/>
      <w:r>
        <w:t xml:space="preserve">Model assumptions</w:t>
      </w:r>
    </w:p>
    <w:p>
      <w:pPr>
        <w:pStyle w:val="FirstParagraph"/>
      </w:pPr>
      <w:r>
        <w:t xml:space="preserve">The basic assumptions of count models, specifically in our case the Poisson regression and its different variations estimate the expected rate,</w:t>
      </w:r>
      <w:r>
        <w:t xml:space="preserve"> </w:t>
      </w:r>
      <m:oMath>
        <m:r>
          <m:rPr/>
          <m:t>E</m:t>
        </m:r>
        <m:r>
          <m:rPr/>
          <m:t>(</m:t>
        </m:r>
        <m:r>
          <m:rPr/>
          <m:t>λ</m:t>
        </m:r>
        <m:r>
          <m:rPr/>
          <m:t>)</m:t>
        </m:r>
      </m:oMath>
      <w:r>
        <w:t xml:space="preserve"> </w:t>
      </w:r>
      <w:r>
        <w:t xml:space="preserve">of observed crime outcomes</w:t>
      </w:r>
      <w:r>
        <w:t xml:space="preserve"> </w:t>
      </w:r>
      <w:r>
        <w:rPr>
          <w:i/>
        </w:rPr>
        <w:t xml:space="preserve">(Y)</w:t>
      </w:r>
      <w:r>
        <w:t xml:space="preserve"> </w:t>
      </w:r>
      <w:r>
        <w:t xml:space="preserve">according to a Poisson distribution. Due to its intrinsic right skewed characteristic, the logarithm of the Poisson probability distribution should be approximately linear. To achieve this the Poisson regression model relies on assumptions related to a log-linear model</w:t>
      </w:r>
      <w:r>
        <w:t xml:space="preserve"> </w:t>
      </w:r>
      <w:r>
        <w:t xml:space="preserve">(Macdonald and Lattimore 2011)</w:t>
      </w:r>
      <w:r>
        <w:t xml:space="preserve">.</w:t>
      </w:r>
    </w:p>
    <w:p>
      <w:pPr>
        <w:pStyle w:val="Heading2"/>
      </w:pPr>
      <w:bookmarkStart w:id="34" w:name="poisson-regression"/>
      <w:bookmarkEnd w:id="34"/>
      <w:r>
        <w:t xml:space="preserve">Poisson regression</w:t>
      </w:r>
    </w:p>
    <w:p>
      <w:pPr>
        <w:pStyle w:val="FirstParagraph"/>
      </w:pPr>
      <w:r>
        <w:t xml:space="preserve">The Poisson regression model can be expressed as in the following equation:</w:t>
      </w:r>
    </w:p>
    <w:p>
      <w:pPr>
        <w:pStyle w:val="BodyText"/>
      </w:pPr>
      <m:oMathPara>
        <m:oMathParaPr>
          <m:jc m:val="center"/>
        </m:oMathParaPr>
        <m:oMath>
          <m:r>
            <m:rPr/>
            <m:t>l</m:t>
          </m:r>
          <m:r>
            <m:rPr/>
            <m:t>o</m:t>
          </m:r>
          <m:r>
            <m:rPr/>
            <m:t>g</m:t>
          </m:r>
          <m:r>
            <m:rPr/>
            <m:t>(</m:t>
          </m:r>
          <m:r>
            <m:rPr/>
            <m:t>E</m:t>
          </m:r>
          <m:r>
            <m:rPr/>
            <m:t>(</m:t>
          </m:r>
          <m:r>
            <m:rPr/>
            <m:t>μ</m:t>
          </m:r>
          <m:r>
            <m:rPr/>
            <m:t>|</m:t>
          </m:r>
          <m:r>
            <m:rPr/>
            <m:t>λ</m:t>
          </m:r>
          <m:r>
            <m:rPr/>
            <m:t>)</m:t>
          </m:r>
          <m:r>
            <m:rPr/>
            <m:t>)</m:t>
          </m:r>
          <m:r>
            <m:rPr/>
            <m:t>=</m:t>
          </m:r>
          <m:r>
            <m:rPr/>
            <m:t>α</m:t>
          </m:r>
          <m:r>
            <m:rPr/>
            <m:t>+</m:t>
          </m:r>
          <m:r>
            <m:rPr/>
            <m:t>x</m:t>
          </m:r>
          <m:r>
            <m:rPr/>
            <m:t>′</m:t>
          </m:r>
          <m:r>
            <m:rPr/>
            <m:t>β</m:t>
          </m:r>
        </m:oMath>
      </m:oMathPara>
    </w:p>
    <w:p>
      <w:pPr>
        <w:pStyle w:val="BodyText"/>
      </w:pPr>
      <w:r>
        <w:t xml:space="preserve">Where the model is expressed as the logarithm of the expected count outcome, and the</w:t>
      </w:r>
      <w:r>
        <w:t xml:space="preserve"> </w:t>
      </w:r>
      <m:oMath>
        <m:r>
          <m:rPr/>
          <m:t>α</m:t>
        </m:r>
      </m:oMath>
      <w:r>
        <w:t xml:space="preserve"> </w:t>
      </w:r>
      <w:r>
        <w:t xml:space="preserve">is the intercept and</w:t>
      </w:r>
      <w:r>
        <w:t xml:space="preserve"> </w:t>
      </w:r>
      <w:r>
        <w:rPr>
          <w:i/>
        </w:rPr>
        <w:t xml:space="preserve">(X')</w:t>
      </w:r>
      <w:r>
        <w:t xml:space="preserve"> </w:t>
      </w:r>
      <w:r>
        <w:t xml:space="preserve">a set of predictor variables. The singularity of the Poisson model compared to the OLS regression is that the latter assumes a normal distribution of expected values and variance, while the first with a single parameter</w:t>
      </w:r>
      <w:r>
        <w:t xml:space="preserve"> </w:t>
      </w:r>
      <m:oMath>
        <m:r>
          <m:rPr/>
          <m:t>μ</m:t>
        </m:r>
      </m:oMath>
      <w:r>
        <w:t xml:space="preserve"> </w:t>
      </w:r>
      <w:r>
        <w:t xml:space="preserve">assumes that the</w:t>
      </w:r>
      <w:r>
        <w:t xml:space="preserve"> </w:t>
      </w:r>
      <m:oMath>
        <m:r>
          <m:rPr/>
          <m:t>E</m:t>
        </m:r>
        <m:r>
          <m:rPr/>
          <m:t>(</m:t>
        </m:r>
        <m:r>
          <m:rPr/>
          <m:t>Y</m:t>
        </m:r>
        <m:r>
          <m:rPr/>
          <m:t>)</m:t>
        </m:r>
        <m:r>
          <m:rPr/>
          <m:t>=</m:t>
        </m:r>
        <m:r>
          <m:rPr/>
          <m:t>V</m:t>
        </m:r>
        <m:r>
          <m:rPr/>
          <m:t>a</m:t>
        </m:r>
        <m:r>
          <m:rPr/>
          <m:t>r</m:t>
        </m:r>
        <m:r>
          <m:rPr/>
          <m:t>(</m:t>
        </m:r>
        <m:r>
          <m:rPr/>
          <m:t>Y</m:t>
        </m:r>
        <m:r>
          <m:rPr/>
          <m:t>)</m:t>
        </m:r>
        <m:r>
          <m:rPr/>
          <m:t>=</m:t>
        </m:r>
        <m:r>
          <m:rPr/>
          <m:t>μ</m:t>
        </m:r>
      </m:oMath>
      <w:r>
        <w:t xml:space="preserve">. Therefore, when analysing the regression outputs for a Poisson model we are intereseted in assessing whether the estimated mean equals the variance of the model</w:t>
      </w:r>
      <w:r>
        <w:t xml:space="preserve"> </w:t>
      </w:r>
      <w:r>
        <w:t xml:space="preserve">(Macdonald and Lattimore 2011)</w:t>
      </w:r>
      <w:r>
        <w:t xml:space="preserve">.</w:t>
      </w:r>
    </w:p>
    <w:p>
      <w:pPr>
        <w:pStyle w:val="BodyText"/>
      </w:pPr>
      <w:r>
        <w:t xml:space="preserve">     Nonetheless, this last assumption of mean equals variance of the model, rarely is met with data available for crime according to MacDonald and Lattimore</w:t>
      </w:r>
      <w:r>
        <w:t xml:space="preserve"> </w:t>
      </w:r>
      <w:r>
        <w:t xml:space="preserve">(2011)</w:t>
      </w:r>
      <w:r>
        <w:t xml:space="preserve">. It is more common to observe that the variance is greater or less than the mean. In the first case, we refer to a case of overdispersion, the latter to underdispersion. The basic interpretation tells us that the model fit shows less or more variation than expected according to the Poisson model</w:t>
      </w:r>
      <w:r>
        <w:t xml:space="preserve"> </w:t>
      </w:r>
      <w:r>
        <w:t xml:space="preserve">(Macdonald and Lattimore 2011)</w:t>
      </w:r>
      <w:r>
        <w:t xml:space="preserve">.</w:t>
      </w:r>
    </w:p>
    <w:p>
      <w:pPr>
        <w:pStyle w:val="BodyText"/>
      </w:pPr>
      <w:r>
        <w:t xml:space="preserve">     In other words, underdispersion occurs when the observed average count of the outcome is zero and there are very few observations with high counts. On the other hand, overdispersion occurs when a high number of observations have very large counts. To test for overdispersion we run a dispersion test command include in the AER</w:t>
      </w:r>
      <w:r>
        <w:t xml:space="preserve"> </w:t>
      </w:r>
      <w:r>
        <w:t xml:space="preserve">(Kleiber and Zeileis 2015)</w:t>
      </w:r>
      <w:r>
        <w:t xml:space="preserve"> </w:t>
      </w:r>
      <w:r>
        <w:t xml:space="preserve">R-package. In the overdispersion test the null hypothesis states</w:t>
      </w:r>
      <w:r>
        <w:t xml:space="preserve"> </w:t>
      </w:r>
      <w:r>
        <w:rPr>
          <w:i/>
        </w:rPr>
        <w:t xml:space="preserve">Ho:</w:t>
      </w:r>
      <m:oMath>
        <m:r>
          <m:rPr/>
          <m:t>λ</m:t>
        </m:r>
        <m:r>
          <m:rPr/>
          <m:t>=</m:t>
        </m:r>
        <m:r>
          <m:rPr/>
          <m:t>1</m:t>
        </m:r>
      </m:oMath>
      <w:r>
        <w:t xml:space="preserve"> </w:t>
      </w:r>
      <w:r>
        <w:t xml:space="preserve">and the alternative hypothesis is that the true dispersion is greater than 1. In our data the z-statistic is</w:t>
      </w:r>
      <w:r>
        <w:t xml:space="preserve"> </w:t>
      </w:r>
      <m:oMath>
        <m:r>
          <m:rPr/>
          <m:t>4.81</m:t>
        </m:r>
      </m:oMath>
      <w:r>
        <w:t xml:space="preserve">, the p-values are small enough</w:t>
      </w:r>
      <w:r>
        <w:t xml:space="preserve"> </w:t>
      </w:r>
      <m:oMath>
        <m:r>
          <m:rPr/>
          <m:t>7.633014</m:t>
        </m:r>
        <m:r>
          <m:rPr/>
          <m:t>e</m:t>
        </m:r>
        <m:r>
          <m:rPr/>
          <m:t>−</m:t>
        </m:r>
        <m:r>
          <m:rPr/>
          <m:t>07</m:t>
        </m:r>
      </m:oMath>
      <w:r>
        <w:t xml:space="preserve"> </w:t>
      </w:r>
      <w:r>
        <w:t xml:space="preserve">so we can say that they are statistically significant, and the estimated dispersion is</w:t>
      </w:r>
      <w:r>
        <w:t xml:space="preserve"> </w:t>
      </w:r>
      <m:oMath>
        <m:r>
          <m:rPr/>
          <m:t>2.59</m:t>
        </m:r>
      </m:oMath>
      <w:r>
        <w:t xml:space="preserve"> </w:t>
      </w:r>
      <w:r>
        <w:t xml:space="preserve">therefore we can assume overdispersion in our counting data. Additionally, using a quasi-poisson regression model allows for a correction in the standard errors of the estimated coefficients, if we observed overdispersion.</w:t>
      </w:r>
    </w:p>
    <w:p>
      <w:pPr>
        <w:pStyle w:val="Heading2"/>
      </w:pPr>
      <w:bookmarkStart w:id="35" w:name="negative-binomial-regression-correcting-overdispersion"/>
      <w:bookmarkEnd w:id="35"/>
      <w:r>
        <w:t xml:space="preserve">Negative binomial regression: correcting overdispersion</w:t>
      </w:r>
    </w:p>
    <w:p>
      <w:pPr>
        <w:pStyle w:val="FirstParagraph"/>
      </w:pPr>
      <w:r>
        <w:t xml:space="preserve">The most commonly used correction for overdispersion is to use a negative binomial model instead. This model assumes that at different values of the observed outcome</w:t>
      </w:r>
      <w:r>
        <w:t xml:space="preserve"> </w:t>
      </w:r>
      <w:r>
        <w:rPr>
          <w:i/>
        </w:rPr>
        <w:t xml:space="preserve">(Y=crime counts)</w:t>
      </w:r>
      <w:r>
        <w:t xml:space="preserve"> </w:t>
      </w:r>
      <w:r>
        <w:t xml:space="preserve">we get a mixture of Poisson and gamma distributed estimations. The expected value follows a Poisson distribution (</w:t>
      </w:r>
      <m:oMath>
        <m:r>
          <m:rPr/>
          <m:t>λ</m:t>
        </m:r>
        <m:r>
          <m:rPr/>
          <m:t>=</m:t>
        </m:r>
        <m:r>
          <m:rPr/>
          <m:t>μ</m:t>
        </m:r>
      </m:oMath>
      <w:r>
        <w:t xml:space="preserve">) but with a variance with a gamma distribution (</w:t>
      </w:r>
      <m:oMath>
        <m:r>
          <m:rPr/>
          <m:t>λ</m:t>
        </m:r>
        <m:r>
          <m:rPr/>
          <m:t>=</m:t>
        </m:r>
        <m:sSup>
          <m:e>
            <m:r>
              <m:rPr/>
              <m:t>μ</m:t>
            </m:r>
          </m:e>
          <m:sup>
            <m:r>
              <m:rPr/>
              <m:t>2</m:t>
            </m:r>
          </m:sup>
        </m:sSup>
        <m:r>
          <m:rPr/>
          <m:t>/</m:t>
        </m:r>
        <m:r>
          <m:rPr/>
          <m:t>k</m:t>
        </m:r>
      </m:oMath>
      <w:r>
        <w:t xml:space="preserve">). The negative binomial distribution includes both such as:</w:t>
      </w:r>
    </w:p>
    <w:p>
      <w:pPr>
        <w:pStyle w:val="BodyText"/>
      </w:pPr>
      <m:oMathPara>
        <m:oMathParaPr>
          <m:jc m:val="center"/>
        </m:oMathParaPr>
        <m:oMath>
          <m:r>
            <m:rPr/>
            <m:t>E</m:t>
          </m:r>
          <m:r>
            <m:rPr/>
            <m:t>(</m:t>
          </m:r>
          <m:r>
            <m:rPr/>
            <m:t>Y</m:t>
          </m:r>
          <m:r>
            <m:rPr/>
            <m:t>)</m:t>
          </m:r>
          <m:r>
            <m:rPr/>
            <m:t>=</m:t>
          </m:r>
          <m:r>
            <m:rPr/>
            <m:t>μ</m:t>
          </m:r>
        </m:oMath>
      </m:oMathPara>
    </w:p>
    <w:p>
      <w:pPr>
        <w:pStyle w:val="BodyText"/>
      </w:pPr>
      <w:r>
        <w:t xml:space="preserve">and</w:t>
      </w:r>
    </w:p>
    <w:p>
      <w:pPr>
        <w:pStyle w:val="BodyText"/>
      </w:pPr>
      <m:oMathPara>
        <m:oMathParaPr>
          <m:jc m:val="center"/>
        </m:oMathParaPr>
        <m:oMath>
          <m:r>
            <m:rPr/>
            <m:t>v</m:t>
          </m:r>
          <m:r>
            <m:rPr/>
            <m:t>a</m:t>
          </m:r>
          <m:r>
            <m:rPr/>
            <m:t>r</m:t>
          </m:r>
          <m:r>
            <m:rPr/>
            <m:t>(</m:t>
          </m:r>
          <m:r>
            <m:rPr/>
            <m:t>Y</m:t>
          </m:r>
          <m:r>
            <m:rPr/>
            <m:t>)</m:t>
          </m:r>
          <m:r>
            <m:rPr/>
            <m:t>=</m:t>
          </m:r>
          <m:r>
            <m:rPr/>
            <m:t>μ</m:t>
          </m:r>
          <m:r>
            <m:rPr/>
            <m:t>+</m:t>
          </m:r>
          <m:sSup>
            <m:e>
              <m:r>
                <m:rPr/>
                <m:t>μ</m:t>
              </m:r>
            </m:e>
            <m:sup>
              <m:r>
                <m:rPr/>
                <m:t>2</m:t>
              </m:r>
            </m:sup>
          </m:sSup>
          <m:r>
            <m:rPr/>
            <m:t>/</m:t>
          </m:r>
          <m:sSup>
            <m:e>
              <m:r>
                <m:rPr/>
                <m:t>k</m:t>
              </m:r>
            </m:e>
            <m:sup>
              <m:r>
                <m:rPr/>
                <m:t>−</m:t>
              </m:r>
              <m:r>
                <m:rPr/>
                <m:t>1</m:t>
              </m:r>
            </m:sup>
          </m:sSup>
        </m:oMath>
      </m:oMathPara>
    </w:p>
    <w:p>
      <w:pPr>
        <w:pStyle w:val="BodyText"/>
      </w:pPr>
      <w:r>
        <w:t xml:space="preserve">For which the parameter</w:t>
      </w:r>
      <w:r>
        <w:t xml:space="preserve"> </w:t>
      </w:r>
      <m:oMath>
        <m:r>
          <m:rPr/>
          <m:t>k</m:t>
        </m:r>
        <m:r>
          <m:rPr/>
          <m:t>&gt;</m:t>
        </m:r>
        <m:r>
          <m:rPr/>
          <m:t>0</m:t>
        </m:r>
      </m:oMath>
      <w:r>
        <w:t xml:space="preserve"> </w:t>
      </w:r>
      <w:r>
        <w:t xml:space="preserve">describes the gamma distribution with the skwede distribution to the right. Thus, when</w:t>
      </w:r>
      <w:r>
        <w:t xml:space="preserve"> </w:t>
      </w:r>
      <m:oMath>
        <m:r>
          <m:rPr/>
          <m:t>k</m:t>
        </m:r>
        <m:r>
          <m:rPr/>
          <m:t>=</m:t>
        </m:r>
        <m:r>
          <m:rPr/>
          <m:t>0</m:t>
        </m:r>
      </m:oMath>
      <w:r>
        <w:t xml:space="preserve">, the formula comes back to the original Poisson formulation and the expected mean and the variance will be equal. The higher the value of</w:t>
      </w:r>
      <w:r>
        <w:t xml:space="preserve"> </w:t>
      </w:r>
      <m:oMath>
        <m:r>
          <m:rPr/>
          <m:t>k</m:t>
        </m:r>
      </m:oMath>
      <w:r>
        <w:t xml:space="preserve">, the higher the amount of overdispersion</w:t>
      </w:r>
      <w:r>
        <w:t xml:space="preserve"> </w:t>
      </w:r>
      <w:r>
        <w:t xml:space="preserve">(Macdonald and Lattimore 2011)</w:t>
      </w:r>
      <w:r>
        <w:t xml:space="preserve">.</w:t>
      </w:r>
    </w:p>
    <w:p>
      <w:pPr>
        <w:pStyle w:val="BodyText"/>
      </w:pPr>
      <w:r>
        <w:t xml:space="preserve">     Furthermore, the Poisson models are based on log-link function to estimate the linear relation between the predictor variables and the expected count of crimes. We can compute the expected count by exponentiating both sides of</w:t>
      </w:r>
    </w:p>
    <w:p>
      <w:pPr>
        <w:pStyle w:val="BodyText"/>
      </w:pPr>
      <m:oMathPara>
        <m:oMathParaPr>
          <m:jc m:val="center"/>
        </m:oMathParaPr>
        <m:oMath>
          <m:r>
            <m:rPr/>
            <m:t>l</m:t>
          </m:r>
          <m:r>
            <m:rPr/>
            <m:t>o</m:t>
          </m:r>
          <m:r>
            <m:rPr/>
            <m:t>g</m:t>
          </m:r>
          <m:r>
            <m:rPr/>
            <m:t>(</m:t>
          </m:r>
          <m:r>
            <m:rPr/>
            <m:t>E</m:t>
          </m:r>
          <m:r>
            <m:rPr/>
            <m:t>(</m:t>
          </m:r>
          <m:r>
            <m:rPr/>
            <m:t>μ</m:t>
          </m:r>
          <m:r>
            <m:rPr/>
            <m:t>|</m:t>
          </m:r>
          <m:r>
            <m:rPr/>
            <m:t>λ</m:t>
          </m:r>
          <m:r>
            <m:rPr/>
            <m:t>)</m:t>
          </m:r>
          <m:r>
            <m:rPr/>
            <m:t>)</m:t>
          </m:r>
          <m:r>
            <m:rPr/>
            <m:t>=</m:t>
          </m:r>
          <m:r>
            <m:rPr/>
            <m:t>α</m:t>
          </m:r>
          <m:r>
            <m:rPr/>
            <m:t>+</m:t>
          </m:r>
          <m:r>
            <m:rPr/>
            <m:t>x</m:t>
          </m:r>
          <m:r>
            <m:rPr/>
            <m:t>′</m:t>
          </m:r>
          <m:r>
            <m:rPr/>
            <m:t>β</m:t>
          </m:r>
        </m:oMath>
      </m:oMathPara>
    </w:p>
    <w:p>
      <w:pPr>
        <w:pStyle w:val="BodyText"/>
      </w:pPr>
      <w:r>
        <w:t xml:space="preserve">One obtains then the expected average count:</w:t>
      </w:r>
    </w:p>
    <w:p>
      <w:pPr>
        <w:pStyle w:val="BodyText"/>
      </w:pPr>
      <m:oMathPara>
        <m:oMathParaPr>
          <m:jc m:val="center"/>
        </m:oMathParaPr>
        <m:oMath>
          <m:r>
            <m:rPr/>
            <m:t>E</m:t>
          </m:r>
          <m:r>
            <m:rPr/>
            <m:t>x</m:t>
          </m:r>
          <m:r>
            <m:rPr/>
            <m:t>p</m:t>
          </m:r>
          <m:r>
            <m:rPr/>
            <m:t>(</m:t>
          </m:r>
          <m:r>
            <m:rPr/>
            <m:t>l</m:t>
          </m:r>
          <m:r>
            <m:rPr/>
            <m:t>o</m:t>
          </m:r>
          <m:r>
            <m:rPr/>
            <m:t>g</m:t>
          </m:r>
          <m:r>
            <m:rPr/>
            <m:t>(</m:t>
          </m:r>
          <m:r>
            <m:rPr/>
            <m:t>E</m:t>
          </m:r>
          <m:r>
            <m:rPr/>
            <m:t>μ</m:t>
          </m:r>
          <m:r>
            <m:rPr/>
            <m:t>|</m:t>
          </m:r>
          <m:r>
            <m:rPr/>
            <m:t>λ</m:t>
          </m:r>
          <m:r>
            <m:rPr/>
            <m:t>)</m:t>
          </m:r>
          <m:r>
            <m:rPr/>
            <m:t>)</m:t>
          </m:r>
          <m:r>
            <m:rPr/>
            <m:t>=</m:t>
          </m:r>
          <m:r>
            <m:rPr/>
            <m:t>E</m:t>
          </m:r>
          <m:r>
            <m:rPr/>
            <m:t>x</m:t>
          </m:r>
          <m:r>
            <m:rPr/>
            <m:t>p</m:t>
          </m:r>
          <m:r>
            <m:rPr/>
            <m:t>(</m:t>
          </m:r>
          <m:r>
            <m:rPr/>
            <m:t>α</m:t>
          </m:r>
          <m:r>
            <m:rPr/>
            <m:t>+</m:t>
          </m:r>
          <m:r>
            <m:rPr/>
            <m:t>x</m:t>
          </m:r>
          <m:r>
            <m:rPr/>
            <m:t>′</m:t>
          </m:r>
          <m:r>
            <m:rPr/>
            <m:t>β</m:t>
          </m:r>
          <m:r>
            <m:rPr/>
            <m:t>=</m:t>
          </m:r>
          <m:r>
            <m:rPr/>
            <m:t>E</m:t>
          </m:r>
          <m:r>
            <m:rPr/>
            <m:t>(</m:t>
          </m:r>
          <m:r>
            <m:rPr/>
            <m:t>μ</m:t>
          </m:r>
          <m:r>
            <m:rPr/>
            <m:t>|</m:t>
          </m:r>
          <m:r>
            <m:rPr/>
            <m:t>λ</m:t>
          </m:r>
          <m:r>
            <m:rPr/>
            <m:t>)</m:t>
          </m:r>
          <m:r>
            <m:rPr/>
            <m:t>=</m:t>
          </m:r>
          <m:sSup>
            <m:e>
              <m:r>
                <m:rPr/>
                <m:t>e</m:t>
              </m:r>
            </m:e>
            <m:sup>
              <m:r>
                <m:rPr/>
                <m:t>α</m:t>
              </m:r>
            </m:sup>
          </m:sSup>
          <m:r>
            <m:rPr/>
            <m:t>+</m:t>
          </m:r>
          <m:sSup>
            <m:e>
              <m:r>
                <m:rPr/>
                <m:t>e</m:t>
              </m:r>
            </m:e>
            <m:sup>
              <m:r>
                <m:rPr/>
                <m:t>x</m:t>
              </m:r>
              <m:r>
                <m:rPr/>
                <m:t>′</m:t>
              </m:r>
              <m:r>
                <m:rPr/>
                <m:t>β</m:t>
              </m:r>
            </m:sup>
          </m:sSup>
        </m:oMath>
      </m:oMathPara>
    </w:p>
    <w:p>
      <w:pPr>
        <w:pStyle w:val="BodyText"/>
      </w:pPr>
      <w:r>
        <w:t xml:space="preserve">The importance of the exponential values for the parameters</w:t>
      </w:r>
      <w:r>
        <w:t xml:space="preserve"> </w:t>
      </w:r>
      <m:oMath>
        <m:sSub>
          <m:e>
            <m:r>
              <m:rPr/>
              <m:t>β</m:t>
            </m:r>
          </m:e>
          <m:sub>
            <m:r>
              <m:rPr/>
              <m:t>k</m:t>
            </m:r>
          </m:sub>
        </m:sSub>
      </m:oMath>
      <w:r>
        <w:t xml:space="preserve"> </w:t>
      </w:r>
      <w:r>
        <w:t xml:space="preserve">lies upon the fact that we can interpretated them as incidence ratios, because they are a multiplication of the expected count or incidence of the outcome by a function of the predictor variable (</w:t>
      </w:r>
      <m:oMath>
        <m:r>
          <m:rPr/>
          <m:t>x</m:t>
        </m:r>
      </m:oMath>
      <w:r>
        <w:t xml:space="preserve">). Thus, what it is of most interest to us for our analysis are the exponential values of the parameters times the predictors (</w:t>
      </w:r>
      <m:oMath>
        <m:sSup>
          <m:e>
            <m:r>
              <m:rPr/>
              <m:t>e</m:t>
            </m:r>
          </m:e>
          <m:sup>
            <m:r>
              <m:rPr/>
              <m:t>x</m:t>
            </m:r>
            <m:r>
              <m:rPr/>
              <m:t>′</m:t>
            </m:r>
            <m:r>
              <m:rPr/>
              <m:t>β</m:t>
            </m:r>
          </m:sup>
        </m:sSup>
      </m:oMath>
      <w:r>
        <w:t xml:space="preserve">). This term of the equation will tell us how much a predictor variable increases the expected count or incidence of crime</w:t>
      </w:r>
      <w:r>
        <w:t xml:space="preserve"> </w:t>
      </w:r>
      <w:r>
        <w:t xml:space="preserve">(Macdonald and Lattimore 2011)</w:t>
      </w:r>
      <w:r>
        <w:t xml:space="preserve">. We could then interpret the incidence rates as percentages, for example a value higher than 1 like 1.7, means an increase in the dependent variable of 70 percent for every one unit change in the predictor (</w:t>
      </w:r>
      <m:oMath>
        <m:r>
          <m:rPr/>
          <m:t>x</m:t>
        </m:r>
      </m:oMath>
      <w:r>
        <w:t xml:space="preserve">). It is also true, that a vlaue of 0.6 yields a reduction of 40 percent in the crime count for each increasing unit in the explanatory variable.</w:t>
      </w:r>
    </w:p>
    <w:p>
      <w:pPr>
        <w:pStyle w:val="Heading1"/>
      </w:pPr>
      <w:bookmarkStart w:id="36" w:name="regression-analysis"/>
      <w:bookmarkEnd w:id="36"/>
      <w:r>
        <w:t xml:space="preserve">Regression analysis</w:t>
      </w:r>
    </w:p>
    <w:p>
      <w:pPr>
        <w:pStyle w:val="FirstParagraph"/>
      </w:pPr>
      <w:r>
        <w:t xml:space="preserve">In order to statistically investigate the effect of social capital on crimes in German districts several models are applied to the data. The results of an OLS regression analysis for different dependent variables are shown in table 3. The inconsistent findings, as well as methodological considerations, lead to the application of further models. The results of poisson, quasi-poisson and negative binomial models are presented in table 4. Incidence rates for these models are reported in table 5 in order to better interpret the findings.</w:t>
      </w:r>
    </w:p>
    <w:p>
      <w:pPr>
        <w:pStyle w:val="Heading2"/>
      </w:pPr>
      <w:bookmarkStart w:id="37" w:name="ols-regression-analysis"/>
      <w:bookmarkEnd w:id="37"/>
      <w:r>
        <w:t xml:space="preserve">OLS regression analysis</w:t>
      </w:r>
    </w:p>
    <w:p>
      <w:pPr>
        <w:pStyle w:val="FirstParagraph"/>
      </w:pPr>
      <w:r>
        <w:t xml:space="preserve">The results of the OLS regression for non-violent crimes (model 1) and violent crimes (model 2) yields inconsistent results. Neither of the variables that measure different dimensions of social capital are consistently significant. Foundations are a significant predictor for non-violent crimes but fail to reach statistical significance for violent crimes. The variable capturing the in and outflow of a given district is statistically significant for non-violent crimes, but contrary to our initial hypothesis: higher flow rates seem to relate to lower levels of non-violent crimes. For violent crimes it fails to attain statistical significance. In addition, the variable for voter turnout is statistical significant for both types of crimes, but flips the sign of the substantial effect. A control variable that could also capture some aspect of social capital attains statistical significance in the expected direction: the higher the percentage of marriaged persons in a district, the lower the violent and non-violent crime rates.</w:t>
      </w:r>
    </w:p>
    <w:p>
      <w:pPr>
        <w:pStyle w:val="BodyText"/>
      </w:pPr>
      <w:r>
        <w:t xml:space="preserve">     The control variables mostly have the predicted effect on the number of crimes. Unemployment is a positive predictor of violent and non-violent crimes. There is no consistent effect for the percentage of foreigners and young persons in a district. However contrary to our initial hypothesis, an increase in the share of males in the population does not increase the number of crimes, but rather (significantly) decreases the number of crimes. Furthermore the dummy variable indicates that both crime rates are on average lower in the area of former East Germany.</w:t>
      </w:r>
    </w:p>
    <w:p>
      <w:pPr>
        <w:pStyle w:val="BodyText"/>
      </w:pPr>
      <w:r>
        <w:t xml:space="preserve">     The OLS regression results for the dependent variable murder display some similarities for both specification models 3 and 4. However the great difference for the control variable male percentage is another indication besides the methodological assumptions that a different model needs to be applied.</w:t>
      </w:r>
    </w:p>
    <w:p>
      <w:pPr>
        <w:pStyle w:val="Heading2"/>
      </w:pPr>
      <w:bookmarkStart w:id="38" w:name="poisson-quasi-poisson-and-negative-binomial-regression-analysis"/>
      <w:bookmarkEnd w:id="38"/>
      <w:r>
        <w:t xml:space="preserve">Poisson, quasi-poisson and negative binomial regression analysis</w:t>
      </w:r>
    </w:p>
    <w:p>
      <w:pPr>
        <w:pStyle w:val="FirstParagraph"/>
      </w:pPr>
      <w:r>
        <w:t xml:space="preserve">The regression output yields a more consistent analysis of the dependent variable murder. None of our independent variables that are deemed to capture a dimension of social capital attains statistical significance - not even the percentage of marriaged persons that attained statistical significance for violent and non-violent crimes (using OLS regression). The control variables indicate that higher unemployment is associated with higher levels of crime, there are (on average) fewer murders occurring in the area of former East Germany, and greater populations result in more murders. Furthermore, more heterogeneous districts tend to be confronted with (on average) a greater number of murders. No further control variable attains statistical significance.</w:t>
      </w:r>
    </w:p>
    <w:p>
      <w:pPr>
        <w:pStyle w:val="BodyText"/>
      </w:pPr>
      <w:r>
        <w:t xml:space="preserve">These results are also represented as incidence rates in table 5. A one unit change of an independent variable leads to a change of the dependent varible that corresponds to the deviation from 1 measured in percent. A rate above 1 indicates an increase and a rate below 1 a decrease of the dependent variable. Hence a one percentage point increase of unemployment leads to a 3 % increase in the number of murders according to the negative binomial model.</w:t>
      </w:r>
    </w:p>
    <w:p>
      <w:pPr>
        <w:pStyle w:val="Heading1"/>
      </w:pPr>
      <w:bookmarkStart w:id="39" w:name="predicted-probabilities"/>
      <w:bookmarkEnd w:id="39"/>
      <w:r>
        <w:t xml:space="preserve">Predicted probabilities</w:t>
      </w:r>
    </w:p>
    <w:p>
      <w:pPr>
        <w:pStyle w:val="FirstParagraph"/>
      </w:pPr>
      <w:r>
        <w:t xml:space="preserve">Predicted probabilities yield the possibility to visualise the statistical and substantial effect of the different variables. In the following predicted probabilities are shown conditional on the dichotomous variable EastWest. Table 6 shows the predicted number of murders for average districts (i.e. all variables set at their mean) in the area of the former West and East. The small difference between the predicted number of murders already indicate, that there might be no statistically significant difference between the two areas.</w:t>
      </w:r>
    </w:p>
    <w:p>
      <w:pPr>
        <w:pStyle w:val="BodyText"/>
      </w:pPr>
      <w:r>
        <w:t xml:space="preserve">It could be the case, however, that the explanatory and the control variables have a different effect conditional on whether a district belonged to the former East or West. Hence predicted probabilities are calculated for all independent variables conditional on EastWest and plotted out. The results, however, indicate that there is no difference between East and West: neither in terms of its magnitude nor are they statistically distinguishable. The only consistent observation is that the confidence intervals are greater for East - which can be attributed to a smaller number of observations. Examples are reported for voter turnout as well as the flow in and out of a district.</w:t>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Turnout-1.png" id="0" name="Picture"/>
                    <pic:cNvPicPr>
                      <a:picLocks noChangeArrowheads="1" noChangeAspect="1"/>
                    </pic:cNvPicPr>
                  </pic:nvPicPr>
                  <pic:blipFill>
                    <a:blip r:embed="rId4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Flow-1.png" id="0" name="Picture"/>
                    <pic:cNvPicPr>
                      <a:picLocks noChangeArrowheads="1" noChangeAspect="1"/>
                    </pic:cNvPicPr>
                  </pic:nvPicPr>
                  <pic:blipFill>
                    <a:blip r:embed="rId41"/>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1"/>
      </w:pPr>
      <w:bookmarkStart w:id="42" w:name="conclusion"/>
      <w:bookmarkEnd w:id="42"/>
      <w:r>
        <w:t xml:space="preserve">Conclusion</w:t>
      </w:r>
    </w:p>
    <w:p>
      <w:pPr>
        <w:pStyle w:val="FirstParagraph"/>
      </w:pPr>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43" w:name="references"/>
      <w:bookmarkEnd w:id="43"/>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Buonanno, Paolo, and Daniel Montolio. 2009.</w:t>
      </w:r>
      <w:r>
        <w:t xml:space="preserve"> </w:t>
      </w:r>
      <w:r>
        <w:rPr>
          <w:i/>
        </w:rPr>
        <w:t xml:space="preserve">Jourrnal of Law and Economics</w:t>
      </w:r>
      <w:r>
        <w:t xml:space="preserve"> </w:t>
      </w:r>
      <w:r>
        <w:t xml:space="preserve">vol. 52.</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pp. 361–404. Springer.</w:t>
      </w:r>
    </w:p>
    <w:p>
      <w:pPr>
        <w:pStyle w:val="Bibliography"/>
      </w:pPr>
      <w:r>
        <w:t xml:space="preserve">Kleiber, Christian, and Achim Zeileis. 2015.</w:t>
      </w:r>
      <w:r>
        <w:t xml:space="preserve"> </w:t>
      </w:r>
      <w:r>
        <w:rPr>
          <w:i/>
        </w:rPr>
        <w:t xml:space="preserve">AER: Applied Econometrics with R</w:t>
      </w:r>
      <w:r>
        <w:t xml:space="preserve">.</w:t>
      </w:r>
      <w:r>
        <w:t xml:space="preserve"> </w:t>
      </w:r>
      <w:hyperlink r:id="rId44">
        <w:r>
          <w:rPr>
            <w:rStyle w:val="Hyperlink"/>
          </w:rPr>
          <w:t xml:space="preserve">http://CRAN.R-project.org/package=AER</w:t>
        </w:r>
      </w:hyperlink>
      <w:r>
        <w:t xml:space="preserve">.</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vol. 50 (no. 3): pp. 509–39.</w:t>
      </w:r>
    </w:p>
    <w:p>
      <w:pPr>
        <w:pStyle w:val="Bibliography"/>
      </w:pPr>
      <w:r>
        <w:t xml:space="preserve">Macdonald, John M., and Pamela K. Lattimore. 2011. In, edited by Alex R. Piquero and David Weisburd, pp. 683–98. Springer.</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vol. 69: pp.882–p903).</w:t>
      </w:r>
    </w:p>
    <w:p>
      <w:pPr>
        <w:pStyle w:val="Bibliography"/>
      </w:pPr>
      <w:r>
        <w:t xml:space="preserve">OECD. 2012.</w:t>
      </w:r>
      <w:r>
        <w:t xml:space="preserve"> </w:t>
      </w:r>
      <w:hyperlink r:id="rId45">
        <w:r>
          <w:rPr>
            <w:rStyle w:val="Hyperlink"/>
          </w:rPr>
          <w:t xml:space="preserve">doi:http://www.oecd.org/insights/37966934.pdf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 “Young People and Social Capital.”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21bc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cc6d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hyperlink" Id="rId44" Target="http://CRAN.R-project.org/package=AER" TargetMode="External" /><Relationship Type="http://schemas.openxmlformats.org/officeDocument/2006/relationships/hyperlink" Id="rId45" Target="http://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44" Target="http://CRAN.R-project.org/package=AER" TargetMode="External" /><Relationship Type="http://schemas.openxmlformats.org/officeDocument/2006/relationships/hyperlink" Id="rId45" Target="http://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