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Most of crime studies are based on the rational choice assumptions of legal and criminal returns and the importance of deterrence to reduce criminal behaviors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2"/>
      </w:pPr>
      <w:bookmarkStart w:id="22" w:name="theory"/>
      <w:bookmarkEnd w:id="22"/>
      <w:r>
        <w:t xml:space="preserve">Theory</w:t>
      </w:r>
    </w:p>
    <w:p>
      <w:r>
        <w:t xml:space="preserve">Social capital can be summerized as the links, shared values, and understandings in society that enable individuals and groups to trust each other and so work as a group to overcome collective action problems</w:t>
      </w:r>
      <w:r>
        <w:t xml:space="preserve"> </w:t>
      </w:r>
      <w:r>
        <w:t xml:space="preserve">(OECD)</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civic participation, reciprocity and trust, social networks, and social support and views of the local areas</w:t>
      </w:r>
      <w:r>
        <w:t xml:space="preserve"> </w:t>
      </w:r>
      <w:r>
        <w:t xml:space="preserve">(Whiting and Harper 2003)</w:t>
      </w:r>
      <w:r>
        <w:t xml:space="preserve">. Putnam</w:t>
      </w:r>
      <w:r>
        <w:t xml:space="preserve"> </w:t>
      </w:r>
      <w:r>
        <w:t xml:space="preserve">(Putnam 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 Furthermore, among other forms of political participation, he describes voting, political knowledge and interest, party identification, and involvements in political campaigns as subcategories of civic participation. Others types of participation include membership and attendance, as well as involvement in charity, religious and community associations. However, Putnam also recognizes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also because networks and institutions are dysfunctional.</w:t>
      </w:r>
    </w:p>
    <w:p>
      <w:r>
        <w:t xml:space="preserve">     The causal link between social capital and crime follows the logic of social disorganization theory</w:t>
      </w:r>
      <w:r>
        <w:t xml:space="preserve"> </w:t>
      </w:r>
      <w:r>
        <w:t xml:space="preserve">(Messner, Baumer, and Rosenfeld 2004)</w:t>
      </w:r>
      <w:r>
        <w:t xml:space="preserve">. Hence, disorganized communities present high levels of economic deprivation, residential instability, and population heterogeneity, making harder the development of primary and secondary social networks among individuals and between communities. Thus, the given community suffers from a cronic incapacity to exert social control, especially over criminal behavior of young adults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favor destructive forms of bounding social capital, like criminal organizations, that may emerge in response to absent of other forms of linking social capital.</w:t>
      </w:r>
    </w:p>
    <w:p>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organizations only impact violent crime levels depending on the type of religious and social organisation engaged. Additionally, Hanslaimer</w:t>
      </w:r>
      <w:r>
        <w:t xml:space="preserve"> </w:t>
      </w:r>
      <w:r>
        <w:t xml:space="preserve">(Hanslmaier 2015)</w:t>
      </w:r>
      <w:r>
        <w:t xml:space="preserve"> </w:t>
      </w:r>
      <w:r>
        <w:t xml:space="preserve">showed that altruism has a general negative effect on violent crimes, but other indicators of social capital only proved to be related to other types of high impact crime and not to violent crime.</w:t>
      </w:r>
    </w:p>
    <w:p>
      <w:r>
        <w:t xml:space="preserve">Hence, we are interested in responding to the question: how do social networks and bonds in a given community determine the level of violent crime?</w:t>
      </w:r>
    </w:p>
    <w:p>
      <w:r>
        <w:t xml:space="preserve">     Additionally, we expect to observe that in societies with anomic and disorganization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 Disintegration of members of the community weakens social cohesion and promotes individualism that end in 'Machiavellian' competition, fostering feelings of status insecurity. Moreover, certain social milieus tend to be more vulnerable and respond therefore with violence. In addition, social capital provides means for informal punishment within a given community. Therefore more social capital leads to more abiding to social norms. In contrast communities that lack of social capital can merely punish norm diverging behaviour informally to a lesser extent and therefore are expected to have a higher crime rate.</w:t>
      </w:r>
    </w:p>
    <w:p>
      <w:r>
        <w:t xml:space="preserve">     Our main hypothesis is that the more social capital a community has, the less crime there would be observed as a result of its collective action mechanisms. Thus, we expect to observe that communities with anomic symptoms will tend to have more crime.</w:t>
      </w:r>
    </w:p>
    <w:p>
      <w:r>
        <w:t xml:space="preserve">     Social Capital is a multi-dimensional concept that consist of "varios social elements that promote individual and collective action"</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organizations, attitudes of civil action, and the sense of membership to the community</w:t>
      </w:r>
      <w:r>
        <w:t xml:space="preserve"> </w:t>
      </w:r>
      <w:r>
        <w:t xml:space="preserve">(Lederman, Loayza, and Menedez 2002)</w:t>
      </w:r>
      <w:r>
        <w:t xml:space="preserve">. Even more complex is the relation between social capital and crime, since the causal connection between the two may go in both directions, meaning that crime also can impact social capital. More violent crime could disrupt community bonds and reduce the social capital, or it could encourage some form of social capital through the formation of community engagement in fighting crime.</w:t>
      </w:r>
    </w:p>
    <w:p>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trust levels across community members and encourage more altruistic behaviors among them. Furthermore, social capital investment might be more cost-efficient compared to more aggressive policing tactics, which effects tend to be perceived only in the more immediate time, whereas social capital investments and their effects might stretch out for longer time.</w:t>
      </w:r>
    </w:p>
    <w:p>
      <w:pPr>
        <w:pStyle w:val="Heading2"/>
      </w:pPr>
      <w:bookmarkStart w:id="23" w:name="data"/>
      <w:bookmarkEnd w:id="23"/>
      <w:r>
        <w:t xml:space="preserve">Data</w:t>
      </w:r>
    </w:p>
    <w:p>
      <w:pPr>
        <w:pStyle w:val="Heading3"/>
      </w:pPr>
      <w:bookmarkStart w:id="24" w:name="data-sources"/>
      <w:bookmarkEnd w:id="24"/>
      <w:r>
        <w:t xml:space="preserve">Data sources:</w:t>
      </w:r>
    </w:p>
    <w:p>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3"/>
      </w:pPr>
      <w:bookmarkStart w:id="25" w:name="data-gathering-process"/>
      <w:bookmarkEnd w:id="25"/>
      <w:r>
        <w:t xml:space="preserve">Data gathering process</w:t>
      </w:r>
    </w:p>
    <w:p>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 which can be performed with a unique SHA1 hash.</w:t>
      </w:r>
    </w:p>
    <w:p>
      <w:r>
        <w:t xml:space="preserve">     In our case, we could only find a stable link for the PKS statistics. All the other data sets by the Statistical Offices of the Laender had session IDs included into the link to the respective data sets. This prevented us from gatherin the data dynamically. Therefore we downloaded the data sets manually and consequentially loaded them.</w:t>
      </w:r>
    </w:p>
    <w:p>
      <w:pPr>
        <w:pStyle w:val="Heading3"/>
      </w:pPr>
      <w:bookmarkStart w:id="26" w:name="dependent-variable"/>
      <w:bookmarkEnd w:id="26"/>
      <w:r>
        <w:t xml:space="preserve">Dependent Variable</w:t>
      </w:r>
    </w:p>
    <w:p>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German Federal Police has published further statistics on the aggregate level for every year from many decades. We urge the German Federal Police to adopt best practices in the field of open data and provide the crime statistics on a desaggregated levels for this time period.</w:t>
      </w:r>
    </w:p>
    <w:p>
      <w:r>
        <w:t xml:space="preserve">     This data is also disaggregated regarding the type of crime. One limitation to this statistics, however, is that they are missing the dark figure of crime -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Furthermore a change in the amount of reported crimes can be attributed potentially to the level of activitly of the police - and not to the actual level of crime within a given community. Since we focus on crimes that disrupt the social community, we expect a high level of reporting and this reporting to be consistently high across different types of disruptive crimes. It is possible to focus on one type of crime for our dependent variable, but also to construct a dependent variable summarizing different types of crime. The latter approach might prove utile, since this provides greater variance in the dependent variable.</w:t>
      </w:r>
    </w:p>
    <w:p>
      <w:r>
        <w:t xml:space="preserve">Problem of aggregation level on the district level: 2.01</w:t>
      </w:r>
      <w:r>
        <w:t xml:space="preserve">10^{5}. The constraint is the DV, because socio economic data is often provided on a sublevel</w:t>
      </w:r>
    </w:p>
    <w:p>
      <w:r>
        <w:t xml:space="preserve">     Following this approach, we construct two measures for violent and non-violent crimes, for which we used a simple addition method, including all crimes fitting each category. After this addition, we then proceed by creating crime rates for total, violent, and non-violent crimes. This computation will allow for better comparison between districts.</w:t>
      </w:r>
    </w:p>
    <w:p>
      <w:r>
        <w:t xml:space="preserve">     Furthermore, given the limitations of our data we have to assume that this cross-sectional data for district crime are a simple count of independent events. This is relevant to remember for the estimation process.</w:t>
      </w:r>
    </w:p>
    <w:p>
      <w:pPr>
        <w:pStyle w:val="Heading3"/>
      </w:pPr>
      <w:bookmarkStart w:id="27" w:name="independent-variables"/>
      <w:bookmarkEnd w:id="27"/>
      <w:r>
        <w:t xml:space="preserve">Independent Variables</w:t>
      </w:r>
    </w:p>
    <w:p>
      <w:r>
        <w:t xml:space="preserve">All data is provided by the German statistical bureau. We want to measure different dimensions of our independent variable social capital. First, we used the data on foundations density in every district as an indicator of community engagement. Foundation density is an indicator of the total number of foundations in each German district per 100 thousand inhabitants.</w:t>
      </w:r>
    </w:p>
    <w:p>
      <w:r>
        <w:t xml:space="preserve">     A second indicator for social capital we used was the total flow of persons coming in and out of each district.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r>
        <w:t xml:space="preserve">     The third dimension of social capital we tried to measure was the civil action within a community. We then looked at the voting turnout during the federal elections of 2013 in Germany to estimate the effect of social capital on crime through the participation of community members in policy decisions while deciding on the next government.</w:t>
      </w:r>
    </w:p>
    <w:p>
      <w:r>
        <w:t xml:space="preserve">     Moreover we need district level data for other variables to control for local heterogeneity. We want to control for factors that influence the rational choice for committing a crime. First, unemployment changes the opportunity costs of punishment, i.e. imprisonment. In addition we want to control for a district's composition in age (younger persons are found to be more involved in crimes), gender (men are found to be more related to crimes).</w:t>
      </w:r>
    </w:p>
    <w:p>
      <w:r>
        <w:t xml:space="preserve">Share of foreigners</w:t>
      </w:r>
    </w:p>
    <w:p>
      <w:r>
        <w:t xml:space="preserve">Marriage: also registered partnership (could also be used as independent explanatory variable)</w:t>
      </w:r>
    </w:p>
    <w:p>
      <w:r>
        <w:t xml:space="preserve">Furthermore we control for the size of the total population (not in all models).</w:t>
      </w:r>
    </w:p>
    <w:p>
      <w:r>
        <w:t xml:space="preserve">     In addition we included a dummy variable for districts of former East and West Germany. This distinction might prove useful to control for different socialization of citizens under different institutional regimes: it might be the case that these institutional factors have shaped the process of social capital formation. Former West Germany is coded as1 and former East Germany is coded as 2. Berlin is coded as 2 for two reasons. First it was not officially listed as one of the German Laender ("Berlin Frage"). Second it is deemed to be distinct from former West Germany.</w:t>
      </w:r>
    </w:p>
    <w:p>
      <w:pPr>
        <w:pStyle w:val="Heading3"/>
      </w:pPr>
      <w:bookmarkStart w:id="28" w:name="optimal-data-set"/>
      <w:bookmarkEnd w:id="28"/>
      <w:r>
        <w:t xml:space="preserve">Optimal data set</w:t>
      </w:r>
    </w:p>
    <w:p>
      <w:r>
        <w:t xml:space="preserve">Throughout the analysis we face severe data constraints that inhibit an in depth analysis of the theoretical relationship. An optimal data set, however, would have the following characteristics.</w:t>
      </w:r>
    </w:p>
    <w:p>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r>
        <w:t xml:space="preserve">     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2"/>
      </w:pPr>
      <w:bookmarkStart w:id="29" w:name="methodology-and-analysis"/>
      <w:bookmarkEnd w:id="29"/>
      <w:r>
        <w:t xml:space="preserve">Methodology and analysis</w:t>
      </w:r>
    </w:p>
    <w:p>
      <w:r>
        <w:t xml:space="preserve">For this research, we have conducted a cross-district study to estimate the relation of different indicators of social capital --engagement in the community, political participation and community stability-- and the incidence of violent and non-violent crime.</w:t>
      </w:r>
    </w:p>
    <w:p>
      <w:r>
        <w:t xml:space="preserve">     Since crime events are discrete events, the possible crime rates for any given population size are those corresponding to integer counts of crimes. Change in population sizes will lead to violating the assumption of homogeneity of error variance. Second, normal or symmetrical error distributions of crime rates cannot be assumed. So the error distribution is skewed to the lower bound (to the left). Thus, a more formal way to accommodate over-dispersion in a count data regression model is to use a negative binomial model as tables 2 to 5 show.</w:t>
      </w:r>
    </w:p>
    <w:p>
      <w:pPr>
        <w:pStyle w:val="Heading2"/>
      </w:pPr>
      <w:bookmarkStart w:id="30" w:name="regression-analysis"/>
      <w:bookmarkEnd w:id="30"/>
      <w:r>
        <w:t xml:space="preserve">Regression analysis</w:t>
      </w:r>
    </w:p>
    <w:p>
      <w:pPr>
        <w:pStyle w:val="Heading3"/>
      </w:pPr>
      <w:bookmarkStart w:id="31" w:name="ols-regression-analysis"/>
      <w:bookmarkEnd w:id="31"/>
      <w:r>
        <w:t xml:space="preserve">OLS regression analysis</w:t>
      </w:r>
    </w:p>
    <w:p>
      <w:r>
        <w:t xml:space="preserve">Here should be some interpretation of the regression results 0.21. 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w:t>
      </w:r>
    </w:p>
    <w:p>
      <w:pPr>
        <w:pStyle w:val="Heading3"/>
      </w:pPr>
      <w:bookmarkStart w:id="32" w:name="poisson-quasi-poisson-and-negative-binomial-regression-analysis"/>
      <w:bookmarkEnd w:id="32"/>
      <w:r>
        <w:t xml:space="preserve">Poisson, quasi-poisson and negative binomial regression analysis</w:t>
      </w:r>
    </w:p>
    <w:p>
      <w:r>
        <w:t xml:space="preserve">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w:t>
      </w:r>
    </w:p>
    <w:p>
      <w:pPr>
        <w:pStyle w:val="Heading2"/>
      </w:pPr>
      <w:bookmarkStart w:id="33" w:name="conclusion"/>
      <w:bookmarkEnd w:id="33"/>
      <w:r>
        <w:t xml:space="preserve">Conclusion</w:t>
      </w:r>
    </w:p>
    <w:p>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34" w:name="references"/>
      <w:bookmarkEnd w:id="34"/>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361–404. Springer.</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50 (3): 509–39.</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69: 882–903).</w:t>
      </w:r>
    </w:p>
    <w:p>
      <w:pPr>
        <w:pStyle w:val="Bibliography"/>
      </w:pPr>
      <w:r>
        <w:t xml:space="preserve">OECD.</w:t>
      </w:r>
      <w:r>
        <w:t xml:space="preserve"> </w:t>
      </w:r>
      <w:r>
        <w:rPr>
          <w:i/>
        </w:rPr>
        <w:t xml:space="preserve">Insights: Human Capital</w:t>
      </w:r>
      <w:r>
        <w:t xml:space="preserve">. doi:</w:t>
      </w:r>
      <w:hyperlink r:id="rId35">
        <w:r>
          <w:rPr>
            <w:rStyle w:val="Link"/>
          </w:rPr>
          <w:t xml:space="preserve">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w:t>
      </w:r>
      <w:r>
        <w:t xml:space="preserve"> </w:t>
      </w:r>
      <w:r>
        <w:rPr>
          <w:i/>
        </w:rPr>
        <w:t xml:space="preserve">Young People and Social Capital</w:t>
      </w:r>
      <w:r>
        <w:t xml:space="preserve">.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8f13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a059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