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System Configuration</w:t>
      </w:r>
    </w:p>
    <w:p>
      <w:r>
        <w:t>The successful deployment and optimal execution of the Intelligent Gmail Spam Remover heavily depend on meeting specific system prerequisites. Because this project uniquely blends local machine learning processing with real-time cloud API synchronization, the environment must be correctly provisioned. The following configurations outline the baseline requirements necessary to guarantee seamless performance, responsive data handling, and stable interactions between the user's machine and Google's external servers.</w:t>
      </w:r>
    </w:p>
    <w:p>
      <w:pPr>
        <w:pStyle w:val="Heading2"/>
      </w:pPr>
      <w:r>
        <w:t>Hardware Configuration</w:t>
      </w:r>
    </w:p>
    <w:p>
      <w:r>
        <w:t>One of the primary advantages of this application is its inherent computational efficiency, driven largely by the lightweight nature of the Naive Bayes algorithm. Unlike deep learning models that require dedicated graphical processing units (GPUs) for training and inference, this system operates flawlessly on standard consumer hardware. At a bare minimum, the system requires a modern multi-core processor (such as an Intel Core i3 or equivalent AMD Ryzen CPU) to handle simultaneous web-serving and text tokenization threads efficiently. For active memory, a minimum base of 4 GB of RAM is recommended to comfortably load the Python interpreter, the Streamlit local hosting environment, and the cached dataset into memory without causing system paging or slowdowns. In terms of storage, the application footprint itself is negligible; however, ensuring at least 500 MB of free solid-state drive (SSD) space is suggested to accommodate the trained `.pkl` model file, necessary Python libraries, and the locally cloned project repository. Furthermore, an active, stable internet connection is an absolute necessity, as the system relies entirely on constant communication with the Gmail APIs to fetch messages and execute user commands.</w:t>
      </w:r>
    </w:p>
    <w:p>
      <w:pPr>
        <w:pStyle w:val="Heading2"/>
      </w:pPr>
      <w:r>
        <w:t>Software Configuration</w:t>
      </w:r>
    </w:p>
    <w:p>
      <w:r>
        <w:t>The software environment for this project requires a highly specific stack centered entirely around the Python ecosystem. The foundational operating system can be highly flexible; the application is fully cross-platform and will run perfectly on Microsoft Windows 10/11, macOS, or standard Linux distributions (such as Ubuntu). The absolutely critical requirement is the installation of Python version 3.8 or higher, as the project leverages modern syntax and updated library dependencies. The user interface explicitly relies on the `streamlit` package for rendering the responsive web dashboard. For communicating securely with Google’s servers, the official `google-api-python-client`, `google-auth-httplib2`, and `google-auth-oauthlib` packages are fundamentally required to handle the complex OAuth 2.0 sequence and payload decoding. At the core of the predictive engine, the `scikit-learn` library is absolutely mandatory to execute the Naive Bayes text classification logic, supplemented by `pandas` and `numpy` for data structure manipulation. Finally, developers must configure valid Google Cloud Platform (GCP) OAuth credentials—usually maintained in a `secrets.toml` or `credentials.json` file—to authorize the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