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∆BMD (Standardized)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(1.13-1.51, p&lt;0.001)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(1.15-1.20, p&lt;0.001)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(1.32-2.65, p&lt;0.001)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p=0.017)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(0.68-1.29, p=0.700)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∆BMD (Standardized)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(1.14-1.52, p&lt;0.001)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(1.33-2.67, p&lt;0.001)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p=0.028)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(0.19-2.70, p=0.620)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(0.68-1.43, p=0.940)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2022-06-28T15:07:16Z</dcterms:modified>
  <cp:category/>
</cp:coreProperties>
</file>