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rPr>
        <w:t xml:space="preserve">Copie à rendre</w:t>
      </w:r>
    </w:p>
    <w:p>
      <w:pPr>
        <w:spacing w:after="320"/>
        <w:jc w:val="center"/>
      </w:pPr>
      <w:r>
        <w:rPr>
          <w:i/>
          <w:iCs/>
        </w:rPr>
        <w:t xml:space="preserve">TP – Développeur Web et Web Mobile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Pr>
          <w:p>
            <w:r>
              <w:rPr>
                <w:b/>
                <w:bCs/>
              </w:rPr>
              <w:t xml:space="preserve">NOM</w:t>
            </w:r>
          </w:p>
        </w:tc>
        <w:tc>
          <w:tcPr>
            <w:tcW w:type="dxa" w:w="6000"/>
          </w:tcPr>
          <w:p>
            <w:r>
              <w:t xml:space="preserve">TOURE</w:t>
            </w:r>
          </w:p>
        </w:tc>
      </w:tr>
      <w:tr>
        <w:tc>
          <w:tcPr>
            <w:tcW w:type="dxa" w:w="3000"/>
          </w:tcPr>
          <w:p>
            <w:r>
              <w:rPr>
                <w:b/>
                <w:bCs/>
              </w:rPr>
              <w:t xml:space="preserve">Prénom</w:t>
            </w:r>
          </w:p>
        </w:tc>
        <w:tc>
          <w:tcPr>
            <w:tcW w:type="dxa" w:w="6000"/>
          </w:tcPr>
          <w:p>
            <w:r>
              <w:t xml:space="preserve">Lassana</w:t>
            </w:r>
          </w:p>
        </w:tc>
      </w:tr>
      <w:tr>
        <w:tc>
          <w:tcPr>
            <w:tcW w:type="dxa" w:w="3000"/>
          </w:tcPr>
          <w:p>
            <w:r>
              <w:rPr>
                <w:b/>
                <w:bCs/>
              </w:rPr>
              <w:t xml:space="preserve">Date de naissance</w:t>
            </w:r>
          </w:p>
        </w:tc>
        <w:tc>
          <w:tcPr>
            <w:tcW w:type="dxa" w:w="6000"/>
          </w:tcPr>
          <w:p>
            <w:r>
              <w:t xml:space="preserve">[à compléter]</w:t>
            </w:r>
          </w:p>
        </w:tc>
      </w:tr>
    </w:tbl>
    <w:p>
      <w:pPr>
        <w:spacing w:before="320" w:after="160"/>
      </w:pPr>
      <w:r>
        <w:rPr>
          <w:b/>
          <w:bCs/>
        </w:rPr>
        <w:t xml:space="preserve">Documents à compléter et à rendre</w:t>
      </w:r>
    </w:p>
    <w:p>
      <w:r>
        <w:br w:type="page"/>
      </w:r>
    </w:p>
    <w:p>
      <w:pPr>
        <w:pStyle w:val="Heading1"/>
        <w:spacing w:before="320" w:after="160"/>
      </w:pPr>
      <w:r>
        <w:rPr>
          <w:b/>
          <w:bCs/>
        </w:rPr>
        <w:t xml:space="preserve">Liens</w:t>
      </w:r>
    </w:p>
    <w:p>
      <w:pPr>
        <w:spacing w:after="160"/>
      </w:pPr>
      <w:r>
        <w:t xml:space="preserve">Lien du git : </w:t>
      </w:r>
      <w:hyperlink w:history="1" r:id="rId7kmy2mkuqyznnz-h_ot1i">
        <w:r>
          <w:rPr>
            <w:rStyle w:val="Hyperlink"/>
          </w:rPr>
          <w:t xml:space="preserve">https://github.com/LassanaToure/vite-et-gourmand</w:t>
        </w:r>
      </w:hyperlink>
    </w:p>
    <w:p>
      <w:pPr>
        <w:spacing w:after="160"/>
      </w:pPr>
      <w:r>
        <w:t xml:space="preserve">Lien de l'outil de gestion de projet (Notion) : </w:t>
      </w:r>
      <w:hyperlink w:history="1" r:id="rIdos2ejz7ywbon6fkxblmnr">
        <w:r>
          <w:rPr>
            <w:rStyle w:val="Hyperlink"/>
          </w:rPr>
          <w:t xml:space="preserve">https://app.notion.com/p/8fa7c87c8de341fb96676bb516139c9b</w:t>
        </w:r>
      </w:hyperlink>
    </w:p>
    <w:p>
      <w:pPr>
        <w:spacing w:after="160"/>
      </w:pPr>
      <w:r>
        <w:t xml:space="preserve">Lien du déploiement : </w:t>
      </w:r>
      <w:hyperlink w:history="1" r:id="rIdibkpiopi9ozhbgpvy-q5q">
        <w:r>
          <w:rPr>
            <w:rStyle w:val="Hyperlink"/>
          </w:rPr>
          <w:t xml:space="preserve">[à compléter une fois le service Render en ligne — voir README.md, section « Déploiement Render + Aiven + Atlas »]</w:t>
        </w:r>
      </w:hyperlink>
    </w:p>
    <w:p>
      <w:pPr>
        <w:spacing w:after="160"/>
      </w:pPr>
      <w:r>
        <w:t xml:space="preserve">Login et mot de passe administrateur : admin@vitegourmand.fr / Admin#Gourmand26 (compte de démonstration créé par le jeu de données de test, database/seed.sql — le mot de passe respecte la politique de sécurité du sujet et est stocké haché en base).</w:t>
      </w:r>
    </w:p>
    <w:p>
      <w:pPr>
        <w:spacing w:after="160"/>
      </w:pPr>
      <w:r>
        <w:t xml:space="preserve">Comptes de démonstration complémentaires (employé et utilisateur) : voir README.md, section « Comptes de démonstration ».</w:t>
      </w:r>
    </w:p>
    <w:p>
      <w:r>
        <w:br w:type="page"/>
      </w:r>
    </w:p>
    <w:p>
      <w:pPr>
        <w:pStyle w:val="Heading1"/>
        <w:spacing w:before="320" w:after="160"/>
      </w:pPr>
      <w:r>
        <w:rPr>
          <w:b/>
          <w:bCs/>
        </w:rPr>
        <w:t xml:space="preserve">Partie 1 : Analyse des besoins</w:t>
      </w:r>
    </w:p>
    <w:p>
      <w:pPr>
        <w:pStyle w:val="Heading2"/>
        <w:spacing w:before="240" w:after="120"/>
      </w:pPr>
      <w:r>
        <w:rPr>
          <w:b/>
          <w:bCs/>
        </w:rPr>
        <w:t xml:space="preserve">1. Résumé du projet</w:t>
      </w:r>
    </w:p>
    <w:p>
      <w:pPr>
        <w:spacing w:after="160"/>
      </w:pPr>
      <w:r>
        <w:t xml:space="preserve">Vite &amp; Gourmand est une application web développée pour un traiteur événementiel bordelais, dans le cadre de l'évaluation en cours de formation du titre professionnel Développeur Web et Web Mobile. L'entreprise, dirigée par Julie et José, propose des menus de fête (Noël, Pâques, mariages, événements) et souhaitait remplacer l'envoi de menus par e-mail par un site permettant de consulter l'offre et de commander en ligne.</w:t>
      </w:r>
    </w:p>
    <w:p>
      <w:pPr>
        <w:spacing w:after="160"/>
      </w:pPr>
      <w:r>
        <w:t xml:space="preserve">Le site distingue quatre profils : visiteur, utilisateur, employé et administrateur. Un visiteur consulte les menus, les filtre par prix, thème, régime ou nombre de personnes, et doit créer un compte pour commander. Un utilisateur commande un menu — le prix est recalculé automatiquement selon les règles de livraison et de réduction —, suit sa commande, la modifie ou l'annule tant qu'elle n'est pas acceptée, puis dépose un avis une fois la prestation terminée.</w:t>
      </w:r>
    </w:p>
    <w:p>
      <w:pPr>
        <w:spacing w:after="160"/>
      </w:pPr>
      <w:r>
        <w:t xml:space="preserve">Un employé gère les commandes, avec l'obligation de contacter le client avant toute annulation ou modification, ainsi que les menus, les plats, les horaires et la modération des avis. Un administrateur dispose des mêmes droits, plus la création des comptes employés et un tableau de statistiques (commandes et chiffre d'affaires par menu) alimenté par une base MongoDB, distincte de la base MySQL qui porte le reste des données.</w:t>
      </w:r>
    </w:p>
    <w:p>
      <w:pPr>
        <w:spacing w:after="160"/>
      </w:pPr>
      <w:r>
        <w:t xml:space="preserve">Le projet repose sur PHP avec PDO, une base MySQL relationnelle, une base MongoDB non relationnelle, un front-end HTML/CSS/JavaScript sans framework, le tout conteneurisé avec Docker pour un développement reproductible et un déploiement simplifié sur Render, avec MySQL hébergé chez Aiven et MongoDB chez Atlas.</w:t>
      </w:r>
    </w:p>
    <w:p>
      <w:pPr>
        <w:pStyle w:val="Heading2"/>
        <w:spacing w:before="240" w:after="120"/>
      </w:pPr>
      <w:r>
        <w:rPr>
          <w:b/>
          <w:bCs/>
        </w:rPr>
        <w:t xml:space="preserve">2. Cahier des charges / expression du besoin</w:t>
      </w:r>
    </w:p>
    <w:p>
      <w:pPr>
        <w:spacing w:after="160"/>
      </w:pPr>
      <w:r>
        <w:t xml:space="preserve">Reformulation fonctionnelle du besoin exprimé par le chef de projet, organisée par écran :</w:t>
      </w:r>
    </w:p>
    <w:p>
      <w:pPr>
        <w:pStyle w:val="ListParagraph"/>
        <w:numPr>
          <w:ilvl w:val="0"/>
          <w:numId w:val="2"/>
        </w:numPr>
        <w:spacing w:after="80"/>
      </w:pPr>
      <w:r>
        <w:t xml:space="preserve">Page d'accueil : présentation de l'entreprise, mise en avant du professionnalisme de l'équipe, avis clients validés uniquement.</w:t>
      </w:r>
    </w:p>
    <w:p>
      <w:pPr>
        <w:pStyle w:val="ListParagraph"/>
        <w:numPr>
          <w:ilvl w:val="0"/>
          <w:numId w:val="2"/>
        </w:numPr>
        <w:spacing w:after="80"/>
      </w:pPr>
      <w:r>
        <w:t xml:space="preserve">Menu applicatif : retour à l'accueil, accès à tous les menus, connexion (utilisateur, employé, administrateur), accès au contact ; pied de page avec horaires du lundi au dimanche, mentions légales et CGV.</w:t>
      </w:r>
    </w:p>
    <w:p>
      <w:pPr>
        <w:pStyle w:val="ListParagraph"/>
        <w:numPr>
          <w:ilvl w:val="0"/>
          <w:numId w:val="2"/>
        </w:numPr>
        <w:spacing w:after="80"/>
      </w:pPr>
      <w:r>
        <w:t xml:space="preserve">Vue globale des menus : titre, description, minimum de personnes et prix pour chaque menu, accessible aux visiteurs comme aux utilisateurs connectés ; filtres par prix maximum, fourchette de prix, thème, régime et nombre de personnes minimum, mise à jour dynamique sans rechargement.</w:t>
      </w:r>
    </w:p>
    <w:p>
      <w:pPr>
        <w:pStyle w:val="ListParagraph"/>
        <w:numPr>
          <w:ilvl w:val="0"/>
          <w:numId w:val="2"/>
        </w:numPr>
        <w:spacing w:after="80"/>
      </w:pPr>
      <w:r>
        <w:t xml:space="preserve">Création de compte : nom, prénom, GSM, e-mail, adresse postale, mot de passe sécurisé (10 caractères minimum, majuscule, minuscule, chiffre, caractère spécial) ; rôle « utilisateur » imposé ; e-mail de bienvenue automatique.</w:t>
      </w:r>
    </w:p>
    <w:p>
      <w:pPr>
        <w:pStyle w:val="ListParagraph"/>
        <w:numPr>
          <w:ilvl w:val="0"/>
          <w:numId w:val="2"/>
        </w:numPr>
        <w:spacing w:after="80"/>
      </w:pPr>
      <w:r>
        <w:t xml:space="preserve">Connexion : e-mail et mot de passe ; réinitialisation par lien envoyé par e-mail.</w:t>
      </w:r>
    </w:p>
    <w:p>
      <w:pPr>
        <w:pStyle w:val="ListParagraph"/>
        <w:numPr>
          <w:ilvl w:val="0"/>
          <w:numId w:val="2"/>
        </w:numPr>
        <w:spacing w:after="80"/>
      </w:pPr>
      <w:r>
        <w:t xml:space="preserve">Vue détaillée d'un menu : toutes les informations du menu, conditions mises en évidence, bouton de commande redirigeant vers le tunnel de commande (invitation à se connecter ou à créer un compte pour un visiteur).</w:t>
      </w:r>
    </w:p>
    <w:p>
      <w:pPr>
        <w:pStyle w:val="ListParagraph"/>
        <w:numPr>
          <w:ilvl w:val="0"/>
          <w:numId w:val="2"/>
        </w:numPr>
        <w:spacing w:after="80"/>
      </w:pPr>
      <w:r>
        <w:t xml:space="preserve">Commande : informations de prestation (adresse, date, heure, GSM), facturation de la livraison (5 € + 0,59 €/km hors Bordeaux), choix du nombre de personnes avec minimum imposé et réduction de 10 % à partir de 5 personnes de plus que le minimum, récapitulatif de prix avant validation, e-mail de confirmation.</w:t>
      </w:r>
    </w:p>
    <w:p>
      <w:pPr>
        <w:pStyle w:val="ListParagraph"/>
        <w:numPr>
          <w:ilvl w:val="0"/>
          <w:numId w:val="2"/>
        </w:numPr>
        <w:spacing w:after="80"/>
      </w:pPr>
      <w:r>
        <w:t xml:space="preserve">Espace utilisateur : liste et détail des commandes, modification ou annulation tant que la commande n'est pas acceptée, suivi horodaté des statuts, dépôt d'un avis (note de 1 à 5 et commentaire) une fois la commande terminée.</w:t>
      </w:r>
    </w:p>
    <w:p>
      <w:pPr>
        <w:pStyle w:val="ListParagraph"/>
        <w:numPr>
          <w:ilvl w:val="0"/>
          <w:numId w:val="2"/>
        </w:numPr>
        <w:spacing w:after="80"/>
      </w:pPr>
      <w:r>
        <w:t xml:space="preserve">Espace employé : gestion des menus, des plats et des horaires ; commandes filtrables par statut et par client ; annulation ou modification d'une commande uniquement après avoir contacté le client (motif et mode de contact obligatoires) ; suivi des statuts jusqu'au retour de matériel prêté (délai de 10 jours ouvrés, 600 € de pénalité) ; modération des avis.</w:t>
      </w:r>
    </w:p>
    <w:p>
      <w:pPr>
        <w:pStyle w:val="ListParagraph"/>
        <w:numPr>
          <w:ilvl w:val="0"/>
          <w:numId w:val="2"/>
        </w:numPr>
        <w:spacing w:after="80"/>
      </w:pPr>
      <w:r>
        <w:t xml:space="preserve">Espace administrateur : toutes les capacités de l'espace employé, création et désactivation de comptes employés (sans transmission du mot de passe par e-mail, aucune création de compte administrateur possible depuis l'application), statistiques de commandes et de chiffre d'affaires par menu, filtrables par menu et par période, sur une base de données non relationnelle.</w:t>
      </w:r>
    </w:p>
    <w:p>
      <w:pPr>
        <w:pStyle w:val="ListParagraph"/>
        <w:numPr>
          <w:ilvl w:val="0"/>
          <w:numId w:val="2"/>
        </w:numPr>
        <w:spacing w:after="80"/>
      </w:pPr>
      <w:r>
        <w:t xml:space="preserve">Contact : formulaire (objet, message, e-mail) envoyant un message à l'entreprise.</w:t>
      </w:r>
    </w:p>
    <w:p>
      <w:pPr>
        <w:pStyle w:val="ListParagraph"/>
        <w:numPr>
          <w:ilvl w:val="0"/>
          <w:numId w:val="2"/>
        </w:numPr>
        <w:spacing w:after="80"/>
      </w:pPr>
      <w:r>
        <w:t xml:space="preserve">Contraintes transverses : conformité RGPD et sécurité sur les catégories de comptes, déploiement réel de l'application, accessibilité conforme au RGAA.</w:t>
      </w:r>
    </w:p>
    <w:p>
      <w:r>
        <w:br w:type="page"/>
      </w:r>
    </w:p>
    <w:p>
      <w:pPr>
        <w:pStyle w:val="Heading1"/>
        <w:spacing w:before="320" w:after="160"/>
      </w:pPr>
      <w:r>
        <w:rPr>
          <w:b/>
          <w:bCs/>
        </w:rPr>
        <w:t xml:space="preserve">Partie 2 : Spécifications techniques</w:t>
      </w:r>
    </w:p>
    <w:p>
      <w:pPr>
        <w:pStyle w:val="Heading2"/>
        <w:spacing w:before="240" w:after="120"/>
      </w:pPr>
      <w:r>
        <w:rPr>
          <w:b/>
          <w:bCs/>
        </w:rPr>
        <w:t xml:space="preserve">1. Technologies utilisées et justification</w:t>
      </w:r>
    </w:p>
    <w:p>
      <w:pPr>
        <w:pStyle w:val="ListParagraph"/>
        <w:numPr>
          <w:ilvl w:val="0"/>
          <w:numId w:val="2"/>
        </w:numPr>
        <w:spacing w:after="80"/>
      </w:pPr>
      <w:r>
        <w:t xml:space="preserve">PHP 8.3 avec PDO (sans framework) : le sujet impose uniquement l'usage d'une base relationnelle et d'une base NoSQL, sans imposer de technologie ; un PHP procédural/orienté objet léger avec PDO permet de démontrer la maîtrise des requêtes préparées, de la sécurité applicative et de l'architecture MVC sans la dépendre d'un framework qui masquerait ces mécanismes — objectif pédagogique de l'ECF.</w:t>
      </w:r>
    </w:p>
    <w:p>
      <w:pPr>
        <w:pStyle w:val="ListParagraph"/>
        <w:numPr>
          <w:ilvl w:val="0"/>
          <w:numId w:val="2"/>
        </w:numPr>
        <w:spacing w:after="80"/>
      </w:pPr>
      <w:r>
        <w:t xml:space="preserve">MySQL 8.4 : base relationnelle exigée par le sujet ; les données du projet (utilisateurs, menus, plats, commandes, avis) sont fortement structurées et relationnelles, ce qui correspond au modèle conceptuel de données fourni en annexe du sujet.</w:t>
      </w:r>
    </w:p>
    <w:p>
      <w:pPr>
        <w:pStyle w:val="ListParagraph"/>
        <w:numPr>
          <w:ilvl w:val="0"/>
          <w:numId w:val="2"/>
        </w:numPr>
        <w:spacing w:after="80"/>
      </w:pPr>
      <w:r>
        <w:t xml:space="preserve">MongoDB 7 : base NoSQL exigée par le sujet, utilisée uniquement pour les statistiques de l'administrateur (une collection de « faits de commande », un document par commande, synchronisée à chaque création, modification ou changement de statut) — un usage qui correspond bien à un modèle document, en lecture agrégée, séparé de la source de vérité relationnelle.</w:t>
      </w:r>
    </w:p>
    <w:p>
      <w:pPr>
        <w:pStyle w:val="ListParagraph"/>
        <w:numPr>
          <w:ilvl w:val="0"/>
          <w:numId w:val="2"/>
        </w:numPr>
        <w:spacing w:after="80"/>
      </w:pPr>
      <w:r>
        <w:t xml:space="preserve">JavaScript vanilla (sans framework front) : les besoins d'interactivité du sujet (filtres dynamiques, onglets, aperçu de prix) restent limités et ne justifient pas l'ajout d'une dépendance front ; cela conserve un site fonctionnel même sans JavaScript (formulaires en méthode GET en repli).</w:t>
      </w:r>
    </w:p>
    <w:p>
      <w:pPr>
        <w:pStyle w:val="ListParagraph"/>
        <w:numPr>
          <w:ilvl w:val="0"/>
          <w:numId w:val="2"/>
        </w:numPr>
        <w:spacing w:after="80"/>
      </w:pPr>
      <w:r>
        <w:t xml:space="preserve">Docker (PHP/Apache, MySQL, MongoDB, phpMyAdmin) : environnement de développement reproductible, identique pour tous les postes, et réutilisable tel quel en production par conteneur (Render).</w:t>
      </w:r>
    </w:p>
    <w:p>
      <w:pPr>
        <w:pStyle w:val="ListParagraph"/>
        <w:numPr>
          <w:ilvl w:val="0"/>
          <w:numId w:val="2"/>
        </w:numPr>
        <w:spacing w:after="80"/>
      </w:pPr>
      <w:r>
        <w:t xml:space="preserve">Render + Aiven + MongoDB Atlas : hébergement gratuit du conteneur Docker existant (Render), base MySQL managée avec connexion chiffrée (Aiven), base MongoDB managée (Atlas) — solution sans coût pour un projet d'école, sans réécrire l'application pour s'adapter à une plateforme propriétaire (pas de buildpack, le Dockerfile du dépôt est réutilisé tel quel).</w:t>
      </w:r>
    </w:p>
    <w:p>
      <w:pPr>
        <w:pStyle w:val="Heading2"/>
        <w:spacing w:before="240" w:after="120"/>
      </w:pPr>
      <w:r>
        <w:rPr>
          <w:b/>
          <w:bCs/>
        </w:rPr>
        <w:t xml:space="preserve">2. Mise en place de l'environnement de travail</w:t>
      </w:r>
    </w:p>
    <w:p>
      <w:pPr>
        <w:spacing w:after="160"/>
      </w:pPr>
      <w:r>
        <w:t xml:space="preserve">L'environnement est entièrement défini par docker-compose.yml (services php, mysql, mongodb, phpmyadmin) et le Dockerfile de docker/php/. Au premier démarrage, MySQL importe automatiquement database/schema.sql puis database/seed.sql. Toutes les variables sensibles sont fournies par un fichier .env non versionné (modèle fourni dans .env.example) ; les ports sont liés à 127.0.0.1 uniquement. Ce choix garantit qu'un nouveau développeur reproduit l'environnement exact avec une seule commande (docker compose up -d --build), documentée pas à pas dans README.md, qui détaille également la procédure de déploiement en production.</w:t>
      </w:r>
    </w:p>
    <w:p>
      <w:pPr>
        <w:pStyle w:val="Heading2"/>
        <w:spacing w:before="240" w:after="120"/>
      </w:pPr>
      <w:r>
        <w:rPr>
          <w:b/>
          <w:bCs/>
        </w:rPr>
        <w:t xml:space="preserve">3. Mécanismes de sécurité</w:t>
      </w:r>
    </w:p>
    <w:p>
      <w:pPr>
        <w:spacing w:after="160"/>
      </w:pPr>
      <w:r>
        <w:t xml:space="preserve">Formulaires et validations :</w:t>
      </w:r>
    </w:p>
    <w:p>
      <w:pPr>
        <w:pStyle w:val="ListParagraph"/>
        <w:numPr>
          <w:ilvl w:val="0"/>
          <w:numId w:val="2"/>
        </w:numPr>
        <w:spacing w:after="80"/>
      </w:pPr>
      <w:r>
        <w:t xml:space="preserve">validation systématique côté serveur de tous les formulaires (longueurs, formats, unicité), en plus des contraintes HTML côté client, car ces dernières sont contournables ;</w:t>
      </w:r>
    </w:p>
    <w:p>
      <w:pPr>
        <w:pStyle w:val="ListParagraph"/>
        <w:numPr>
          <w:ilvl w:val="0"/>
          <w:numId w:val="2"/>
        </w:numPr>
        <w:spacing w:after="80"/>
      </w:pPr>
      <w:r>
        <w:t xml:space="preserve">échappement systématique des sorties (fonction e(), htmlspecialchars) pour empêcher les injections XSS ;</w:t>
      </w:r>
    </w:p>
    <w:p>
      <w:pPr>
        <w:pStyle w:val="ListParagraph"/>
        <w:numPr>
          <w:ilvl w:val="0"/>
          <w:numId w:val="2"/>
        </w:numPr>
        <w:spacing w:after="80"/>
      </w:pPr>
      <w:r>
        <w:t xml:space="preserve">jeton CSRF vérifié de façon centrale sur toute requête POST (public/index.php), avant même d'atteindre un contrôleur.</w:t>
      </w:r>
    </w:p>
    <w:p>
      <w:pPr>
        <w:spacing w:after="160"/>
      </w:pPr>
      <w:r>
        <w:t xml:space="preserve">Comptes et mots de passe :</w:t>
      </w:r>
    </w:p>
    <w:p>
      <w:pPr>
        <w:pStyle w:val="ListParagraph"/>
        <w:numPr>
          <w:ilvl w:val="0"/>
          <w:numId w:val="2"/>
        </w:numPr>
        <w:spacing w:after="80"/>
      </w:pPr>
      <w:r>
        <w:t xml:space="preserve">mots de passe hachés avec password_hash (bcrypt, coût 12), jamais stockés ni journalisés en clair ;</w:t>
      </w:r>
    </w:p>
    <w:p>
      <w:pPr>
        <w:pStyle w:val="ListParagraph"/>
        <w:numPr>
          <w:ilvl w:val="0"/>
          <w:numId w:val="2"/>
        </w:numPr>
        <w:spacing w:after="80"/>
      </w:pPr>
      <w:r>
        <w:t xml:space="preserve">politique de mot de passe conforme au sujet (10 caractères minimum, majuscule, minuscule, chiffre, caractère spécial) ;</w:t>
      </w:r>
    </w:p>
    <w:p>
      <w:pPr>
        <w:pStyle w:val="ListParagraph"/>
        <w:numPr>
          <w:ilvl w:val="0"/>
          <w:numId w:val="2"/>
        </w:numPr>
        <w:spacing w:after="80"/>
      </w:pPr>
      <w:r>
        <w:t xml:space="preserve">message d'erreur de connexion volontairement générique, pour ne pas révéler si l'e-mail existe ;</w:t>
      </w:r>
    </w:p>
    <w:p>
      <w:pPr>
        <w:pStyle w:val="ListParagraph"/>
        <w:numPr>
          <w:ilvl w:val="0"/>
          <w:numId w:val="2"/>
        </w:numPr>
        <w:spacing w:after="80"/>
      </w:pPr>
      <w:r>
        <w:t xml:space="preserve">aucune création de compte administrateur possible depuis l'application (refus serveur explicite même si le rôle est forcé dans la requête).</w:t>
      </w:r>
    </w:p>
    <w:p>
      <w:pPr>
        <w:spacing w:after="160"/>
      </w:pPr>
      <w:r>
        <w:t xml:space="preserve">Base de données :</w:t>
      </w:r>
    </w:p>
    <w:p>
      <w:pPr>
        <w:pStyle w:val="ListParagraph"/>
        <w:numPr>
          <w:ilvl w:val="0"/>
          <w:numId w:val="2"/>
        </w:numPr>
        <w:spacing w:after="80"/>
      </w:pPr>
      <w:r>
        <w:t xml:space="preserve">requêtes exclusivement préparées (PDO, émulation désactivée) ;</w:t>
      </w:r>
    </w:p>
    <w:p>
      <w:pPr>
        <w:pStyle w:val="ListParagraph"/>
        <w:numPr>
          <w:ilvl w:val="0"/>
          <w:numId w:val="2"/>
        </w:numPr>
        <w:spacing w:after="80"/>
      </w:pPr>
      <w:r>
        <w:t xml:space="preserve">transactions avec verrous (SELECT ... FOR UPDATE) sur les commandes et le stock des menus, pour éviter les accès concurrents incohérents (survente, double annulation) ;</w:t>
      </w:r>
    </w:p>
    <w:p>
      <w:pPr>
        <w:pStyle w:val="ListParagraph"/>
        <w:numPr>
          <w:ilvl w:val="0"/>
          <w:numId w:val="2"/>
        </w:numPr>
        <w:spacing w:after="80"/>
      </w:pPr>
      <w:r>
        <w:t xml:space="preserve">connexion chiffrée (TLS) obligatoire en production vers la base MySQL managée (Aiven).</w:t>
      </w:r>
    </w:p>
    <w:p>
      <w:pPr>
        <w:spacing w:after="160"/>
      </w:pPr>
      <w:r>
        <w:t xml:space="preserve">Session et en-têtes HTTP :</w:t>
      </w:r>
    </w:p>
    <w:p>
      <w:pPr>
        <w:pStyle w:val="ListParagraph"/>
        <w:numPr>
          <w:ilvl w:val="0"/>
          <w:numId w:val="2"/>
        </w:numPr>
        <w:spacing w:after="80"/>
      </w:pPr>
      <w:r>
        <w:t xml:space="preserve">cookie de session HttpOnly, SameSite=Lax, et Secure en production ; identifiant de session régénéré à la connexion ; expiration après 2 h d'inactivité ;</w:t>
      </w:r>
    </w:p>
    <w:p>
      <w:pPr>
        <w:pStyle w:val="ListParagraph"/>
        <w:numPr>
          <w:ilvl w:val="0"/>
          <w:numId w:val="2"/>
        </w:numPr>
        <w:spacing w:after="80"/>
      </w:pPr>
      <w:r>
        <w:t xml:space="preserve">en-têtes X-Content-Type-Options, X-Frame-Options, Referrer-Policy sur toutes les réponses ;</w:t>
      </w:r>
    </w:p>
    <w:p>
      <w:pPr>
        <w:pStyle w:val="ListParagraph"/>
        <w:numPr>
          <w:ilvl w:val="0"/>
          <w:numId w:val="2"/>
        </w:numPr>
        <w:spacing w:after="80"/>
      </w:pPr>
      <w:r>
        <w:t xml:space="preserve">Content-Security-Policy stricte en production (scripts autorisés uniquement en self et par nonce, pas de unsafe-inline sur les scripts).</w:t>
      </w:r>
    </w:p>
    <w:p>
      <w:pPr>
        <w:spacing w:after="160"/>
      </w:pPr>
      <w:r>
        <w:t xml:space="preserve">Rôles et RGPD :</w:t>
      </w:r>
    </w:p>
    <w:p>
      <w:pPr>
        <w:pStyle w:val="ListParagraph"/>
        <w:numPr>
          <w:ilvl w:val="0"/>
          <w:numId w:val="2"/>
        </w:numPr>
        <w:spacing w:after="80"/>
      </w:pPr>
      <w:r>
        <w:t xml:space="preserve">contrôle d'accès centralisé par rôle (Guard) sur chaque route, plutôt que dispersé dans chaque contrôleur ;</w:t>
      </w:r>
    </w:p>
    <w:p>
      <w:pPr>
        <w:pStyle w:val="ListParagraph"/>
        <w:numPr>
          <w:ilvl w:val="0"/>
          <w:numId w:val="2"/>
        </w:numPr>
        <w:spacing w:after="80"/>
      </w:pPr>
      <w:r>
        <w:t xml:space="preserve">minimisation des données collectées (uniquement les champs nécessaires à la prestation) et absence de tout traceur tiers ;</w:t>
      </w:r>
    </w:p>
    <w:p>
      <w:pPr>
        <w:pStyle w:val="ListParagraph"/>
        <w:numPr>
          <w:ilvl w:val="0"/>
          <w:numId w:val="2"/>
        </w:numPr>
        <w:spacing w:after="80"/>
      </w:pPr>
      <w:r>
        <w:t xml:space="preserve">compte désactivable (utilisateur.actif) plutôt que suppression, pour conserver l'intégrité de l'historique des commandes tout en coupant l'accès immédiatement, y compris pour une session déjà ouverte.</w:t>
      </w:r>
    </w:p>
    <w:p>
      <w:pPr>
        <w:pStyle w:val="Heading2"/>
        <w:spacing w:before="240" w:after="120"/>
      </w:pPr>
      <w:r>
        <w:rPr>
          <w:b/>
          <w:bCs/>
        </w:rPr>
        <w:t xml:space="preserve">4. Veille technologique sur les vulnérabilités de sécurité</w:t>
      </w:r>
    </w:p>
    <w:p>
      <w:pPr>
        <w:spacing w:after="160"/>
      </w:pPr>
      <w:r>
        <w:t xml:space="preserve">La veille s'est appuyée sur l'OWASP Top 10 (owasp.org, en anglais) pour structurer les priorités de sécurisation du projet — en particulier « A01:2021 Broken Access Control » (contrôle d'accès par rôle systématique), « A03:2021 Injection » (requêtes préparées, aucune concaténation SQL) et « A05:2021 Security Misconfiguration » (en-têtes de sécurité, désactivation de l'affichage des erreurs en production). La documentation MDN Web Docs sur l'en-tête Content-Security-Policy a servi de référence directe pour la mise en place du CSP avec nonce (voir Partie 3).</w:t>
      </w:r>
    </w:p>
    <w:p>
      <w:r>
        <w:br w:type="page"/>
      </w:r>
    </w:p>
    <w:p>
      <w:pPr>
        <w:pStyle w:val="Heading1"/>
        <w:spacing w:before="320" w:after="160"/>
      </w:pPr>
      <w:r>
        <w:rPr>
          <w:b/>
          <w:bCs/>
        </w:rPr>
        <w:t xml:space="preserve">Partie 3 : Recherche</w:t>
      </w:r>
    </w:p>
    <w:p>
      <w:pPr>
        <w:pStyle w:val="Heading2"/>
        <w:spacing w:before="240" w:after="120"/>
      </w:pPr>
      <w:r>
        <w:rPr>
          <w:b/>
          <w:bCs/>
        </w:rPr>
        <w:t xml:space="preserve">1. Situation de travail ayant nécessité une recherche anglophone</w:t>
      </w:r>
    </w:p>
    <w:p>
      <w:pPr>
        <w:spacing w:after="160"/>
      </w:pPr>
      <w:r>
        <w:t xml:space="preserve">Lors de la mise en place de l'en-tête Content-Security-Policy en production, une difficulté est apparue : la page contient un unique script en ligne (activation d'une classe CSS dès que JavaScript est disponible). Autoriser ce script sans affaiblir toute la politique de sécurité (avec 'unsafe-inline', qui autoriserait n'importe quel script injecté) nécessitait de comprendre précisément le mécanisme du nonce CSP : générer une valeur aléatoire à chaque requête, l'inclure à la fois dans l'en-tête HTTP et dans l'attribut nonce de la balise &lt;script&gt;, pour que seul ce script précis soit exécuté. La documentation de référence, en anglais, est la page MDN Web Docs consacrée à la directive script-src.</w:t>
      </w:r>
    </w:p>
    <w:p>
      <w:pPr>
        <w:spacing w:after="160"/>
      </w:pPr>
      <w:r>
        <w:t xml:space="preserve">Source : </w:t>
      </w:r>
      <w:hyperlink w:history="1" r:id="rIdjvinrmg9ex_-5f0kyc9hc">
        <w:r>
          <w:rPr>
            <w:rStyle w:val="Hyperlink"/>
          </w:rPr>
          <w:t xml:space="preserve">https://developer.mozilla.org/en-US/docs/Web/HTTP/Headers/Content-Security-Policy/script-src</w:t>
        </w:r>
      </w:hyperlink>
    </w:p>
    <w:p>
      <w:pPr>
        <w:pStyle w:val="Heading2"/>
        <w:spacing w:before="240" w:after="120"/>
      </w:pPr>
      <w:r>
        <w:rPr>
          <w:b/>
          <w:bCs/>
        </w:rPr>
        <w:t xml:space="preserve">2. Extrait et traduction</w:t>
      </w:r>
    </w:p>
    <w:p>
      <w:pPr>
        <w:spacing w:after="160"/>
      </w:pPr>
      <w:r>
        <w:t xml:space="preserve">Extrait original (anglais) :</w:t>
      </w:r>
    </w:p>
    <w:p>
      <w:pPr>
        <w:spacing w:after="160"/>
      </w:pPr>
      <w:r>
        <w:t xml:space="preserve">"A nonce is a random string generated for each response. It must be unique for each HTTP response and be a cryptographically strong random value."</w:t>
      </w:r>
    </w:p>
    <w:p>
      <w:pPr>
        <w:spacing w:after="160"/>
      </w:pPr>
      <w:r>
        <w:t xml:space="preserve">Traduction :</w:t>
      </w:r>
    </w:p>
    <w:p>
      <w:pPr>
        <w:spacing w:after="160"/>
      </w:pPr>
      <w:r>
        <w:t xml:space="preserve">« Un nonce est une chaîne aléatoire générée pour chaque réponse. Elle doit être unique à chaque réponse HTTP et être une valeur aléatoire cryptographiquement forte. »</w:t>
      </w:r>
    </w:p>
    <w:p>
      <w:pPr>
        <w:spacing w:after="160"/>
      </w:pPr>
      <w:r>
        <w:t xml:space="preserve">C'est directement ce principe qui est implémenté dans app/helpers.php (fonction csp_nonce(), qui génère 16 octets aléatoires par requête avec random_bytes) : la même valeur est utilisée dans l'en-tête Content-Security-Policy envoyé par send_security_headers() et dans l'attribut nonce de la balise &lt;script&gt; de app/views/partials/head.php, uniquement en production.</w:t>
      </w:r>
    </w:p>
    <w:p>
      <w:r>
        <w:br w:type="page"/>
      </w:r>
    </w:p>
    <w:p>
      <w:pPr>
        <w:pStyle w:val="Heading1"/>
        <w:spacing w:before="320" w:after="160"/>
      </w:pPr>
      <w:r>
        <w:rPr>
          <w:b/>
          <w:bCs/>
        </w:rPr>
        <w:t xml:space="preserve">Partie 4 : Informations complémentaires</w:t>
      </w:r>
    </w:p>
    <w:p>
      <w:pPr>
        <w:pStyle w:val="Heading2"/>
        <w:spacing w:before="240" w:after="120"/>
      </w:pPr>
      <w:r>
        <w:rPr>
          <w:b/>
          <w:bCs/>
        </w:rPr>
        <w:t xml:space="preserve">1. Autres ressources</w:t>
      </w:r>
    </w:p>
    <w:p>
      <w:pPr>
        <w:pStyle w:val="ListParagraph"/>
        <w:numPr>
          <w:ilvl w:val="0"/>
          <w:numId w:val="2"/>
        </w:numPr>
        <w:spacing w:after="80"/>
      </w:pPr>
      <w:r>
        <w:t xml:space="preserve">Sujet officiel de l'ECF et Annexe 1 (MCD) : documents fournis par Studi, conservés hors du dépôt Git (non commités, voir .gitignore).</w:t>
      </w:r>
    </w:p>
    <w:p>
      <w:pPr>
        <w:pStyle w:val="ListParagraph"/>
        <w:numPr>
          <w:ilvl w:val="0"/>
          <w:numId w:val="2"/>
        </w:numPr>
        <w:spacing w:after="80"/>
      </w:pPr>
      <w:r>
        <w:t xml:space="preserve">Suivi de projet : base Notion listant les étapes réalisées et restantes (lien en première page).</w:t>
      </w:r>
    </w:p>
    <w:p>
      <w:pPr>
        <w:pStyle w:val="ListParagraph"/>
        <w:numPr>
          <w:ilvl w:val="0"/>
          <w:numId w:val="2"/>
        </w:numPr>
        <w:spacing w:after="80"/>
      </w:pPr>
      <w:r>
        <w:t xml:space="preserve">Crédits des photographies (menus, bandeau d'accueil) : public/assets/img/CREDITS.md, dans le dépôt.</w:t>
      </w:r>
    </w:p>
    <w:p>
      <w:pPr>
        <w:pStyle w:val="Heading2"/>
        <w:spacing w:before="240" w:after="120"/>
      </w:pPr>
      <w:r>
        <w:rPr>
          <w:b/>
          <w:bCs/>
        </w:rPr>
        <w:t xml:space="preserve">2. Informations complémentaires</w:t>
      </w:r>
    </w:p>
    <w:p>
      <w:pPr>
        <w:spacing w:after="160"/>
      </w:pPr>
      <w:r>
        <w:t xml:space="preserve">Deux points du sujet laissaient une marge d'interprétation ; les choix retenus sont documentés ici par souci de transparence :</w:t>
      </w:r>
    </w:p>
    <w:p>
      <w:pPr>
        <w:pStyle w:val="ListParagraph"/>
        <w:numPr>
          <w:ilvl w:val="0"/>
          <w:numId w:val="2"/>
        </w:numPr>
        <w:spacing w:after="80"/>
      </w:pPr>
      <w:r>
        <w:t xml:space="preserve">« L'employé ne peut pas modifier / annuler les commandes avant d'avoir contacté le client » : la modification d'une commande par l'équipe (date, adresse, nombre de personnes...) a été implémentée avec la même exigence de contact obligatoire (mode + motif, tracés) que l'annulation, disponible tant que la commande n'a pas dépassé l'étape « en cours de livraison ».</w:t>
      </w:r>
    </w:p>
    <w:p>
      <w:pPr>
        <w:pStyle w:val="ListParagraph"/>
        <w:numPr>
          <w:ilvl w:val="0"/>
          <w:numId w:val="2"/>
        </w:numPr>
        <w:spacing w:after="80"/>
      </w:pPr>
      <w:r>
        <w:t xml:space="preserve">Le numéro de GSM du client est pré-rempli depuis le compte à la commande, comme demandé, mais reste modifiable pour cette commande précise (contrairement au nom/prénom/e-mail, figés) : un client peut avoir un contact différent selon l'événement.</w:t>
      </w:r>
    </w:p>
    <w:p>
      <w:pPr>
        <w:spacing w:after="160"/>
      </w:pPr>
      <w:r>
        <w:t xml:space="preserve">Limite connue, documentée dans le README : sur le plan gratuit de Render, le système de fichiers est éphémère — les images de menus ajoutées depuis le back-office ne persistent pas après un redéploiement (seules les images de démonstration, commitées dans le dépôt, persistent).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7kmy2mkuqyznnz-h_ot1i" Type="http://schemas.openxmlformats.org/officeDocument/2006/relationships/hyperlink" Target="https://github.com/LassanaToure/vite-et-gourmand" TargetMode="External"/><Relationship Id="rIdos2ejz7ywbon6fkxblmnr" Type="http://schemas.openxmlformats.org/officeDocument/2006/relationships/hyperlink" Target="https://app.notion.com/p/8fa7c87c8de341fb96676bb516139c9b" TargetMode="External"/><Relationship Id="rIdibkpiopi9ozhbgpvy-q5q" Type="http://schemas.openxmlformats.org/officeDocument/2006/relationships/hyperlink" Target="[&#224; compl&#233;ter une fois le service Render en ligne &#8212; voir README.md, section &#171; D&#233;ploiement Render + Aiven + Atlas &#187;]" TargetMode="External"/><Relationship Id="rIdjvinrmg9ex_-5f0kyc9hc" Type="http://schemas.openxmlformats.org/officeDocument/2006/relationships/hyperlink" Target="https://developer.mozilla.org/en-US/docs/Web/HTTP/Headers/Content-Security-Policy/script-src" TargetMode="External"/><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2026-09-22T16:24:05.095Z</dcterms:created>
  <dcterms:modified xsi:type="dcterms:W3CDTF">2026-09-22T16:24:05.109Z</dcterms:modified>
</cp:coreProperties>
</file>

<file path=docProps/custom.xml><?xml version="1.0" encoding="utf-8"?>
<Properties xmlns="http://schemas.openxmlformats.org/officeDocument/2006/custom-properties" xmlns:vt="http://schemas.openxmlformats.org/officeDocument/2006/docPropsVTypes"/>
</file>