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E7C7B"/>
          <w:spacing w:val="40"/>
          <w:sz w:val="18"/>
          <w:szCs w:val="18"/>
        </w:rPr>
        <w:t xml:space="preserve">PROJECT BRIEF  •  AI-NATIVE ENGINEERING</w:t>
      </w:r>
    </w:p>
    <w:p>
      <w:pPr>
        <w:pBdr>
          <w:bottom w:val="single" w:color="1F3A5F" w:sz="12" w:space="6"/>
        </w:pBdr>
        <w:spacing w:after="100"/>
        <w:jc w:val="center"/>
      </w:pPr>
      <w:r>
        <w:rPr>
          <w:b/>
          <w:bCs/>
          <w:color w:val="1F3A5F"/>
          <w:sz w:val="36"/>
          <w:szCs w:val="36"/>
        </w:rPr>
        <w:t xml:space="preserve">Autonomous Batch-End PCB Quality Control</w:t>
      </w:r>
    </w:p>
    <w:p>
      <w:pPr>
        <w:pBdr>
          <w:bottom w:val="single" w:color="0E7C7B" w:sz="6" w:space="2"/>
        </w:pBdr>
        <w:spacing w:after="80" w:before="160"/>
      </w:pPr>
      <w:r>
        <w:rPr>
          <w:b/>
          <w:bCs/>
          <w:color w:val="1F3A5F"/>
          <w:sz w:val="24"/>
          <w:szCs w:val="24"/>
        </w:rPr>
        <w:t xml:space="preserve">Project Title</w:t>
      </w:r>
    </w:p>
    <w:p>
      <w:pPr>
        <w:spacing w:after="80" w:line="260"/>
        <w:jc w:val="both"/>
      </w:pPr>
      <w:r>
        <w:rPr>
          <w:sz w:val="20"/>
          <w:szCs w:val="20"/>
        </w:rPr>
        <w:t xml:space="preserve">Autonomous Batch-End PCB Quality Control — An AI-Native Agentic Computer Vision System for High-Density Interconnect (HDI) and Multi-Layer Printed Circuit Board Manufacturing.</w:t>
      </w:r>
    </w:p>
    <w:p>
      <w:pPr>
        <w:pBdr>
          <w:bottom w:val="single" w:color="0E7C7B" w:sz="6" w:space="2"/>
        </w:pBdr>
        <w:spacing w:after="80" w:before="160"/>
      </w:pPr>
      <w:r>
        <w:rPr>
          <w:b/>
          <w:bCs/>
          <w:color w:val="1F3A5F"/>
          <w:sz w:val="24"/>
          <w:szCs w:val="24"/>
        </w:rPr>
        <w:t xml:space="preserve">Project Statement</w:t>
      </w:r>
    </w:p>
    <w:p>
      <w:pPr>
        <w:spacing w:after="80" w:line="260"/>
        <w:jc w:val="both"/>
      </w:pPr>
      <w:r>
        <w:rPr>
          <w:sz w:val="20"/>
          <w:szCs w:val="20"/>
        </w:rPr>
        <w:t xml:space="preserve">Design and deliver an AI-Native quality control system that replaces rule-based Automated Optical Inspection (AOI) with an autonomous agent capable of perceiving, reasoning about, and acting on PCB defects at the end of each fabrication batch. The system shall achieve a 99.8% defect capture rate while reducing human visual triage and rework overhead by 85%, by treating vision models, reasoning agents, and tool-using interfaces as first-class architectural components rather than features bolted onto a legacy pipeline.</w:t>
      </w:r>
    </w:p>
    <w:p>
      <w:pPr>
        <w:pBdr>
          <w:bottom w:val="single" w:color="0E7C7B" w:sz="6" w:space="2"/>
        </w:pBdr>
        <w:spacing w:after="80" w:before="160"/>
      </w:pPr>
      <w:r>
        <w:rPr>
          <w:b/>
          <w:bCs/>
          <w:color w:val="1F3A5F"/>
          <w:sz w:val="24"/>
          <w:szCs w:val="24"/>
        </w:rPr>
        <w:t xml:space="preserve">Problem Description</w:t>
      </w:r>
    </w:p>
    <w:p>
      <w:pPr>
        <w:spacing w:after="80" w:line="260"/>
        <w:jc w:val="both"/>
      </w:pPr>
      <w:r>
        <w:rPr>
          <w:sz w:val="20"/>
          <w:szCs w:val="20"/>
        </w:rPr>
        <w:t xml:space="preserve">Current PCB inspection on the production line relies on manual checks and rigid rule-based AOI systems that compare boards to hardcoded pixel references. As HDI and multi-layer boards become more compact, these legacy systems fail in three structural ways: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Brittle perception: </w:t>
      </w:r>
      <w:r>
        <w:rPr>
          <w:sz w:val="20"/>
          <w:szCs w:val="20"/>
        </w:rPr>
        <w:t xml:space="preserve">hardcoded reference comparisons produce high false-alarm rates under normal lighting and process variation, and miss hairline traces, micro-solder bridges, and subtle component skew.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Human fatigue at batch close: </w:t>
      </w:r>
      <w:r>
        <w:rPr>
          <w:sz w:val="20"/>
          <w:szCs w:val="20"/>
        </w:rPr>
        <w:t xml:space="preserve">operators are flooded with boards at end-of-batch, accuracy collapses, and critical solder, trace, via, and component-placement defects escape into final packaging.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No cross-board reasoning: </w:t>
      </w:r>
      <w:r>
        <w:rPr>
          <w:sz w:val="20"/>
          <w:szCs w:val="20"/>
        </w:rPr>
        <w:t xml:space="preserve">legacy systems inspect each board in isolation, so systematic faults — such as a miscalibrated pick-and-place nozzle producing identical 0402 skews across boards — go undiagnosed until field returns surface.</w:t>
      </w:r>
    </w:p>
    <w:p>
      <w:pPr>
        <w:spacing w:after="80" w:line="260"/>
        <w:jc w:val="both"/>
      </w:pPr>
      <w:r>
        <w:rPr>
          <w:sz w:val="20"/>
          <w:szCs w:val="20"/>
        </w:rPr>
        <w:t xml:space="preserve">The compounding cost is field failures, scrap, warranty exposure, and labor-intensive manual re-sorting loops that scale poorly as board complexity grows.</w:t>
      </w:r>
    </w:p>
    <w:p>
      <w:pPr>
        <w:pBdr>
          <w:bottom w:val="single" w:color="0E7C7B" w:sz="6" w:space="2"/>
        </w:pBdr>
        <w:spacing w:after="80" w:before="160"/>
      </w:pPr>
      <w:r>
        <w:rPr>
          <w:b/>
          <w:bCs/>
          <w:color w:val="1F3A5F"/>
          <w:sz w:val="24"/>
          <w:szCs w:val="24"/>
        </w:rPr>
        <w:t xml:space="preserve">Justification for an AI-Native Solution</w:t>
      </w:r>
    </w:p>
    <w:p>
      <w:pPr>
        <w:spacing w:after="80" w:line="260"/>
        <w:jc w:val="both"/>
      </w:pPr>
      <w:r>
        <w:rPr>
          <w:sz w:val="20"/>
          <w:szCs w:val="20"/>
        </w:rPr>
        <w:t xml:space="preserve">Traditional AI behaves as a passive classifier — it flags an image and waits for a human. An AI-Native agentic framework instead treats the inspector as an autonomous engineering capability built around four loops that legacy systems cannot replicate: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Autonomous triage and adaptation: </w:t>
      </w:r>
      <w:r>
        <w:rPr>
          <w:sz w:val="20"/>
          <w:szCs w:val="20"/>
        </w:rPr>
        <w:t xml:space="preserve">when evidence is ambiguous, the agent uses tool-calling to shift camera angles, adjust LED lighting, and re-capture the board without human intervention, eliminating the brittleness of fixed-pixel comparison.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Cross-batch contextual reasoning: </w:t>
      </w:r>
      <w:r>
        <w:rPr>
          <w:sz w:val="20"/>
          <w:szCs w:val="20"/>
        </w:rPr>
        <w:t xml:space="preserve">a batch-analyst agent reasons across boards using vector memory and statistical change-point detection — three identical 0402 skews trigger an automatic line halt and a calibration ticket against the offending nozzle.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Self-evolving accuracy via a data flywheel: </w:t>
      </w:r>
      <w:r>
        <w:rPr>
          <w:sz w:val="20"/>
          <w:szCs w:val="20"/>
        </w:rPr>
        <w:t xml:space="preserve">every prediction is joined to electrical-test outcomes in the MES, producing labeled training data that continuously retrains the perception models — driving false positives toward zero rather than holding at a fixed floor.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b/>
          <w:bCs/>
          <w:sz w:val="20"/>
          <w:szCs w:val="20"/>
        </w:rPr>
        <w:t xml:space="preserve">Engineered guardrails: </w:t>
      </w:r>
      <w:r>
        <w:rPr>
          <w:sz w:val="20"/>
          <w:szCs w:val="20"/>
        </w:rPr>
        <w:t xml:space="preserve">tool use, blast-radius caps, eval gates, shadow deployment, and mandatory human review on critical-tier defects make the autonomy safe to deploy on a live line.</w:t>
      </w:r>
    </w:p>
    <w:p>
      <w:pPr>
        <w:spacing w:after="80" w:line="260"/>
        <w:jc w:val="both"/>
      </w:pPr>
      <w:r>
        <w:rPr>
          <w:sz w:val="20"/>
          <w:szCs w:val="20"/>
        </w:rPr>
        <w:t xml:space="preserve">These capabilities are only achievable when AI is the substrate of the system — not an add-on. This justifies an AI-Native engineering approach over incremental AOI upgrades.</w:t>
      </w:r>
    </w:p>
    <w:sectPr>
      <w:footerReference w:type="default" r:id="rId7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i/>
        <w:iCs/>
        <w:color w:val="595959"/>
        <w:sz w:val="16"/>
        <w:szCs w:val="16"/>
      </w:rPr>
      <w:t xml:space="preserve">AI-Native Engineering Brief  •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AI-Native PCB Quality Control — One Page Brief</dc:title>
  <dc:creator>AI-Native Engineering</dc:creator>
  <cp:lastModifiedBy>Un-named</cp:lastModifiedBy>
  <cp:revision>1</cp:revision>
  <dcterms:created xsi:type="dcterms:W3CDTF">2026-05-16T07:23:18.401Z</dcterms:created>
  <dcterms:modified xsi:type="dcterms:W3CDTF">2026-05-16T07:23:18.402Z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