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3D57" w14:textId="4B294A47" w:rsidR="002C050A" w:rsidRPr="007509B9" w:rsidRDefault="002C050A" w:rsidP="002C050A">
      <w:pPr>
        <w:rPr>
          <w:color w:val="000000"/>
          <w:sz w:val="44"/>
          <w:szCs w:val="44"/>
        </w:rPr>
      </w:pPr>
      <w:r w:rsidRPr="007509B9">
        <w:rPr>
          <w:sz w:val="44"/>
          <w:szCs w:val="44"/>
        </w:rPr>
        <w:t>Zero Trust Security for Web Application</w:t>
      </w:r>
      <w:r w:rsidR="000E3649" w:rsidRPr="007509B9">
        <w:rPr>
          <w:sz w:val="44"/>
          <w:szCs w:val="44"/>
        </w:rPr>
        <w:t>s</w:t>
      </w:r>
      <w:r w:rsidRPr="007509B9">
        <w:rPr>
          <w:sz w:val="44"/>
          <w:szCs w:val="44"/>
        </w:rPr>
        <w:t xml:space="preserve"> in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5133226D" w14:textId="77777777" w:rsidR="007509B9" w:rsidRDefault="002C050A" w:rsidP="002C050A">
      <w:pPr>
        <w:spacing w:after="40"/>
      </w:pPr>
      <w:hyperlink r:id="rId6">
        <w:r>
          <w:rPr>
            <w:rStyle w:val="Hyperlink"/>
            <w:i/>
            <w:iCs/>
            <w:sz w:val="18"/>
            <w:szCs w:val="18"/>
          </w:rPr>
          <w:t>ch.en.u4cys21014@ch.students.amrita.edu</w:t>
        </w:r>
      </w:hyperlink>
    </w:p>
    <w:p w14:paraId="31BC8BE9" w14:textId="2A96AE01" w:rsidR="007509B9" w:rsidRDefault="007509B9" w:rsidP="007509B9">
      <w:pPr>
        <w:rPr>
          <w:sz w:val="18"/>
          <w:szCs w:val="18"/>
        </w:rPr>
      </w:pPr>
      <w:r>
        <w:rPr>
          <w:color w:val="000000"/>
          <w:sz w:val="18"/>
          <w:szCs w:val="18"/>
        </w:rPr>
        <w:t>Udhaya Kumar S</w:t>
      </w:r>
      <w:r>
        <w:rPr>
          <w:i/>
          <w:color w:val="000000"/>
          <w:sz w:val="18"/>
          <w:szCs w:val="18"/>
        </w:rPr>
        <w:br/>
      </w:r>
      <w:r>
        <w:rPr>
          <w:sz w:val="18"/>
          <w:szCs w:val="18"/>
        </w:rPr>
        <w:t>Department of Computer Science and Engineering,</w:t>
      </w:r>
    </w:p>
    <w:p w14:paraId="29503B18" w14:textId="77777777" w:rsidR="007509B9" w:rsidRDefault="007509B9" w:rsidP="007509B9">
      <w:pPr>
        <w:rPr>
          <w:sz w:val="18"/>
          <w:szCs w:val="18"/>
        </w:rPr>
      </w:pPr>
      <w:r>
        <w:rPr>
          <w:sz w:val="18"/>
          <w:szCs w:val="18"/>
        </w:rPr>
        <w:t xml:space="preserve">Amrita Vishwa Vidyapeetham, </w:t>
      </w:r>
    </w:p>
    <w:p w14:paraId="05F7CC35" w14:textId="77777777" w:rsidR="007509B9" w:rsidRDefault="007509B9" w:rsidP="007509B9">
      <w:pPr>
        <w:rPr>
          <w:sz w:val="18"/>
          <w:szCs w:val="18"/>
          <w:vertAlign w:val="superscript"/>
        </w:rPr>
      </w:pPr>
      <w:r>
        <w:rPr>
          <w:sz w:val="18"/>
          <w:szCs w:val="18"/>
        </w:rPr>
        <w:t>Chennai, India,</w:t>
      </w:r>
    </w:p>
    <w:p w14:paraId="7216C681" w14:textId="0E61C17B" w:rsidR="002C050A" w:rsidRDefault="007509B9" w:rsidP="007509B9">
      <w:pPr>
        <w:spacing w:after="40"/>
      </w:pPr>
      <w:hyperlink r:id="rId7">
        <w:r>
          <w:rPr>
            <w:rStyle w:val="Hyperlink"/>
            <w:i/>
            <w:iCs/>
            <w:sz w:val="18"/>
            <w:szCs w:val="18"/>
          </w:rPr>
          <w:t>ch.en.u4cys21014@ch.students.amrita.edu</w:t>
        </w:r>
      </w:hyperlink>
      <w:r w:rsidR="002C050A">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7509B9">
          <w:type w:val="continuous"/>
          <w:pgSz w:w="11906" w:h="16838" w:code="9"/>
          <w:pgMar w:top="1134" w:right="890" w:bottom="720" w:left="890" w:header="720" w:footer="720" w:gutter="0"/>
          <w:cols w:num="3" w:space="720"/>
          <w:docGrid w:linePitch="360"/>
        </w:sect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6A2235">
      <w:pPr>
        <w:pStyle w:val="Heading1"/>
        <w:numPr>
          <w:ilvl w:val="0"/>
          <w:numId w:val="1"/>
        </w:numPr>
        <w:spacing w:after="120"/>
        <w:ind w:firstLine="215"/>
        <w:rPr>
          <w:b/>
          <w:bCs/>
        </w:rPr>
      </w:pPr>
      <w:r>
        <w:rPr>
          <w:b/>
          <w:bCs/>
        </w:rPr>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 xml:space="preserve">approach has led to serious violations, such as the 2017 Equifax hack, which exposed the personal information of approximately 147 million people and had an estimated cost of $4 billion in remediation and settlements.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07541B68" w14:textId="51B0D432" w:rsidR="003B4E0B" w:rsidRPr="008368B2" w:rsidRDefault="00D51875" w:rsidP="008368B2">
      <w:pPr>
        <w:pStyle w:val="NormalWeb"/>
        <w:spacing w:beforeAutospacing="0" w:after="120" w:afterAutospacing="0"/>
        <w:contextualSpacing/>
        <w:jc w:val="both"/>
        <w:rPr>
          <w:sz w:val="20"/>
          <w:szCs w:val="20"/>
        </w:r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4D7F4849" w14:textId="3DC27A0E" w:rsidR="0065438E" w:rsidRPr="003B4E0B" w:rsidRDefault="0065438E" w:rsidP="003B4E0B">
      <w:pPr>
        <w:jc w:val="both"/>
        <w:sectPr w:rsidR="0065438E" w:rsidRPr="003B4E0B" w:rsidSect="008368B2">
          <w:type w:val="continuous"/>
          <w:pgSz w:w="11906" w:h="16838" w:code="9"/>
          <w:pgMar w:top="1134" w:right="890" w:bottom="720" w:left="890" w:header="720" w:footer="720" w:gutter="0"/>
          <w:cols w:num="2" w:space="720"/>
          <w:docGrid w:linePitch="360"/>
        </w:sectPr>
      </w:pPr>
    </w:p>
    <w:p w14:paraId="3AA3CF02" w14:textId="559F6617" w:rsidR="00B22EB0" w:rsidRDefault="00B22EB0" w:rsidP="00B22EB0">
      <w:pPr>
        <w:spacing w:after="120"/>
        <w:rPr>
          <w:spacing w:val="-1"/>
          <w:shd w:val="clear" w:color="auto" w:fill="FFFFFF"/>
        </w:rPr>
      </w:pPr>
      <w:r>
        <w:rPr>
          <w:noProof/>
        </w:rPr>
        <w:lastRenderedPageBreak/>
        <w:drawing>
          <wp:inline distT="0" distB="0" distL="0" distR="0" wp14:anchorId="3BEFE002" wp14:editId="7FCE7517">
            <wp:extent cx="6105596" cy="3931920"/>
            <wp:effectExtent l="0" t="0" r="9525" b="0"/>
            <wp:docPr id="15860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7997" cy="3965665"/>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Default="006608C3" w:rsidP="006A2235">
      <w:pPr>
        <w:pStyle w:val="Heading1"/>
        <w:numPr>
          <w:ilvl w:val="0"/>
          <w:numId w:val="1"/>
        </w:numPr>
      </w:pPr>
      <w:r>
        <w:rPr>
          <w:b/>
          <w:bCs/>
        </w:rPr>
        <w:t>Related</w:t>
      </w:r>
      <w:r>
        <w:t xml:space="preserve"> </w:t>
      </w:r>
      <w:r>
        <w:rPr>
          <w:b/>
          <w:bCs/>
        </w:rPr>
        <w:t>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53D2F94B" w:rsidR="00B35798" w:rsidRPr="00B35798" w:rsidRDefault="00B35798" w:rsidP="00B35798">
      <w:pPr>
        <w:pStyle w:val="ListParagraph"/>
        <w:numPr>
          <w:ilvl w:val="0"/>
          <w:numId w:val="1"/>
        </w:numPr>
        <w:tabs>
          <w:tab w:val="left" w:pos="288"/>
        </w:tabs>
        <w:spacing w:after="120" w:line="228" w:lineRule="auto"/>
        <w:rPr>
          <w:b/>
          <w:bCs/>
          <w:color w:val="000000"/>
        </w:rPr>
      </w:pPr>
      <w:r w:rsidRPr="00B35798">
        <w:rPr>
          <w:b/>
          <w:bCs/>
          <w:color w:val="000000"/>
        </w:rP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Role-based access control guarantees that only the resources required for completing a task in an assigned role are accessible to a given user, which supports the core principle of Zero Trust: least privilege. The admin panel has as well behavior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8EB8F11">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9"/>
                    <a:stretch>
                      <a:fillRect/>
                    </a:stretch>
                  </pic:blipFill>
                  <pic:spPr bwMode="auto">
                    <a:xfrm>
                      <a:off x="0" y="0"/>
                      <a:ext cx="2205493" cy="1908599"/>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675044F3" w14:textId="1AE4FCFF" w:rsidR="006608C3" w:rsidRDefault="005E2F85" w:rsidP="006A2235">
      <w:pPr>
        <w:tabs>
          <w:tab w:val="left" w:pos="288"/>
        </w:tabs>
        <w:spacing w:after="120" w:line="228" w:lineRule="auto"/>
        <w:jc w:val="both"/>
        <w:rPr>
          <w:color w:val="000000"/>
        </w:r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r w:rsidR="00936FCE">
        <w:rPr>
          <w:color w:val="000000"/>
        </w:rPr>
        <w:lastRenderedPageBreak/>
        <w:t>c</w:t>
      </w:r>
      <w:r w:rsidR="006608C3">
        <w:rPr>
          <w:color w:val="000000"/>
        </w:rPr>
        <w:t>omprising</w:t>
      </w:r>
      <w:r w:rsidR="00936FCE" w:rsidRPr="00936FCE">
        <w:rPr>
          <w:color w:val="000000"/>
        </w:rPr>
        <w:t xml:space="preserve"> three elements</w:t>
      </w:r>
      <w:r w:rsidR="005B789E">
        <w:rPr>
          <w:color w:val="000000"/>
        </w:rPr>
        <w:t xml:space="preserve"> as illustrated in Figure 3</w:t>
      </w:r>
      <w:r w:rsidR="00936FCE" w:rsidRPr="00936FCE">
        <w:rPr>
          <w:color w:val="000000"/>
        </w:rPr>
        <w:t>: a header, payload or payload with user claims, and a signature to validate the authenticity.</w:t>
      </w:r>
      <w:r w:rsidR="00936FCE">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51E3DB6B" w14:textId="727B9270" w:rsidR="006608C3"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Pr>
          <w:color w:val="000000"/>
        </w:rPr>
        <w:t xml:space="preserve">. </w:t>
      </w:r>
      <w:r w:rsidR="00000033" w:rsidRPr="00000033">
        <w:rPr>
          <w:color w:val="000000"/>
        </w:rPr>
        <w:t>The model was created using a spam SMS dataset sourced from Kaggle, and constructed through a synthesis of supervised learning strategies along with ensemble methodologies, utilizing algorithms such as Random Forest, Gradient Boosting, and SVM. Through rigorous testing procedures, the model arrived at an accuracy of above 96%, thereby proving to be an efficient tool for finding fraudulent activities.</w:t>
      </w:r>
      <w:r w:rsidR="00000033">
        <w:rPr>
          <w:color w:val="000000"/>
        </w:rPr>
        <w:t xml:space="preserve"> </w:t>
      </w:r>
      <w:r>
        <w:rPr>
          <w:color w:val="000000"/>
        </w:rPr>
        <w:t xml:space="preserve">As shown </w:t>
      </w:r>
      <w:r w:rsidR="00C823E3">
        <w:rPr>
          <w:color w:val="000000"/>
        </w:rPr>
        <w:t>Table 1</w:t>
      </w:r>
      <w:r>
        <w:rPr>
          <w:color w:val="000000"/>
        </w:rPr>
        <w:t xml:space="preserve">, the performance metrics highlight the model's precision and recall rates, emphasizing its capability to minimize false positives and negatives in </w:t>
      </w:r>
      <w:r w:rsidR="00C823E3">
        <w:rPr>
          <w:color w:val="000000"/>
        </w:rPr>
        <w:t>spam</w:t>
      </w:r>
      <w:r>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22177A64">
            <wp:extent cx="1955800" cy="1475371"/>
            <wp:effectExtent l="0" t="0" r="635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10"/>
                    <a:stretch>
                      <a:fillRect/>
                    </a:stretch>
                  </pic:blipFill>
                  <pic:spPr bwMode="auto">
                    <a:xfrm>
                      <a:off x="0" y="0"/>
                      <a:ext cx="1962464" cy="1480398"/>
                    </a:xfrm>
                    <a:prstGeom prst="rect">
                      <a:avLst/>
                    </a:prstGeom>
                  </pic:spPr>
                </pic:pic>
              </a:graphicData>
            </a:graphic>
          </wp:inline>
        </w:drawing>
      </w:r>
    </w:p>
    <w:p w14:paraId="053C4479" w14:textId="54C5D7AD"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961332">
        <w:rPr>
          <w:color w:val="000000"/>
          <w:sz w:val="16"/>
          <w:szCs w:val="16"/>
        </w:rPr>
        <w:t>3</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0AB0462B" w14:textId="44C71C51" w:rsidR="008F205E" w:rsidRDefault="008F205E" w:rsidP="006A2235">
      <w:pPr>
        <w:tabs>
          <w:tab w:val="left" w:pos="288"/>
        </w:tabs>
        <w:spacing w:after="120" w:line="228" w:lineRule="auto"/>
        <w:jc w:val="both"/>
        <w:rPr>
          <w:color w:val="000000"/>
        </w:rPr>
      </w:pPr>
      <w:r w:rsidRPr="008F205E">
        <w:rPr>
          <w:color w:val="000000"/>
        </w:rPr>
        <w:t>A Policy Enforcement Point (PEP) is one of the key components in security enforcement within web applications within a Zero Trust Architecture (ZTA).</w:t>
      </w:r>
      <w:r>
        <w:rPr>
          <w:color w:val="000000"/>
        </w:rPr>
        <w:t xml:space="preserve"> </w:t>
      </w:r>
      <w:r w:rsidR="006608C3">
        <w:rPr>
          <w:color w:val="000000"/>
          <w:lang w:val="en-IN"/>
        </w:rPr>
        <w:t>T</w:t>
      </w:r>
      <w:r w:rsidR="006608C3" w:rsidRPr="00176C36">
        <w:rPr>
          <w:color w:val="000000"/>
          <w:lang w:val="en-IN"/>
        </w:rPr>
        <w:t>he PEP acts as a gatekeeper that intercepts all incoming requests before they reach the application’s core services, ensuring that only authorized users or services gain access.</w:t>
      </w:r>
      <w:r w:rsidR="006608C3">
        <w:rPr>
          <w:color w:val="000000"/>
          <w:lang w:val="en-IN"/>
        </w:rPr>
        <w:t xml:space="preserve"> </w:t>
      </w:r>
      <w:r w:rsidR="006608C3" w:rsidRPr="00176C36">
        <w:rPr>
          <w:color w:val="000000"/>
          <w:lang w:val="en-IN"/>
        </w:rPr>
        <w:t xml:space="preserve">When implemented in </w:t>
      </w:r>
      <w:r w:rsidR="006608C3">
        <w:rPr>
          <w:color w:val="000000"/>
          <w:lang w:val="en-IN"/>
        </w:rPr>
        <w:t>microservice based web applications</w:t>
      </w:r>
      <w:r w:rsidR="006608C3" w:rsidRPr="00176C36">
        <w:rPr>
          <w:color w:val="000000"/>
          <w:lang w:val="en-IN"/>
        </w:rPr>
        <w:t>, the PEP evaluates each request based on predefined security po</w:t>
      </w:r>
      <w:r w:rsidR="006608C3">
        <w:rPr>
          <w:color w:val="000000"/>
          <w:lang w:val="en-IN"/>
        </w:rPr>
        <w:t>l</w:t>
      </w:r>
      <w:r w:rsidR="006608C3" w:rsidRPr="00176C36">
        <w:rPr>
          <w:color w:val="000000"/>
          <w:lang w:val="en-IN"/>
        </w:rPr>
        <w:t xml:space="preserve">icies. These policies determine who </w:t>
      </w:r>
      <w:r w:rsidR="006608C3" w:rsidRPr="00176C36">
        <w:rPr>
          <w:color w:val="000000"/>
          <w:lang w:val="en-IN"/>
        </w:rPr>
        <w:t xml:space="preserve">can access which </w:t>
      </w:r>
      <w:r w:rsidR="006608C3">
        <w:rPr>
          <w:color w:val="000000"/>
          <w:lang w:val="en-IN"/>
        </w:rPr>
        <w:t>service and resources</w:t>
      </w:r>
      <w:r w:rsidR="006608C3" w:rsidRPr="00176C36">
        <w:rPr>
          <w:color w:val="000000"/>
          <w:lang w:val="en-IN"/>
        </w:rPr>
        <w:t xml:space="preserve">, at what time, and under what conditions. </w:t>
      </w:r>
      <w:r w:rsidRPr="008F205E">
        <w:rPr>
          <w:color w:val="000000"/>
        </w:rPr>
        <w:t xml:space="preserve">The PEP typically collaborates with the Policy Decision Point, which decides access according to such policies as RBAC or ABAC. </w:t>
      </w:r>
      <w:r w:rsidR="005B789E" w:rsidRPr="003F5917">
        <w:rPr>
          <w:color w:val="000000"/>
        </w:rPr>
        <w:t>Once a decision is made by the PDP, the PEP either grants or denies access.</w:t>
      </w:r>
      <w:r w:rsidR="005B789E">
        <w:rPr>
          <w:color w:val="000000"/>
        </w:rPr>
        <w:t xml:space="preserve"> </w:t>
      </w:r>
    </w:p>
    <w:p w14:paraId="38C0D3A8" w14:textId="69234F90" w:rsidR="006608C3" w:rsidRDefault="006608C3" w:rsidP="006A2235">
      <w:pPr>
        <w:tabs>
          <w:tab w:val="left" w:pos="288"/>
        </w:tabs>
        <w:spacing w:after="120" w:line="228" w:lineRule="auto"/>
        <w:jc w:val="both"/>
        <w:rPr>
          <w:color w:val="000000"/>
          <w:lang w:val="en-IN"/>
        </w:rPr>
      </w:pPr>
      <w:r w:rsidRPr="00176C36">
        <w:rPr>
          <w:color w:val="000000"/>
          <w:lang w:val="en-IN"/>
        </w:rPr>
        <w:t xml:space="preserve">In practical terms, the PEP is embedded at critical points within the </w:t>
      </w:r>
      <w:r>
        <w:rPr>
          <w:color w:val="000000"/>
          <w:lang w:val="en-IN"/>
        </w:rPr>
        <w:t>microservice</w:t>
      </w:r>
      <w:r w:rsidRPr="00176C36">
        <w:rPr>
          <w:color w:val="000000"/>
          <w:lang w:val="en-IN"/>
        </w:rPr>
        <w:t xml:space="preserve"> architecture, such as API gateways or middleware layers. Every incoming request to the </w:t>
      </w:r>
      <w:r>
        <w:rPr>
          <w:color w:val="000000"/>
          <w:lang w:val="en-IN"/>
        </w:rPr>
        <w:t>service of application containers</w:t>
      </w:r>
      <w:r w:rsidRPr="00176C36">
        <w:rPr>
          <w:color w:val="000000"/>
          <w:lang w:val="en-IN"/>
        </w:rPr>
        <w:t xml:space="preserve"> passes through the PEP, where it is authenticated, and authorization policies are applied. If the user or service is unauthorized or violates policies, the PEP blocks access.</w:t>
      </w:r>
      <w:r w:rsidR="0005623D">
        <w:rPr>
          <w:color w:val="000000"/>
          <w:lang w:val="en-IN"/>
        </w:rPr>
        <w:t xml:space="preserve"> </w:t>
      </w:r>
      <w:r>
        <w:rPr>
          <w:color w:val="000000"/>
          <w:lang w:val="en-IN"/>
        </w:rPr>
        <w:t>For an instance, in our application</w:t>
      </w:r>
      <w:r w:rsidRPr="00176C36">
        <w:rPr>
          <w:color w:val="000000"/>
          <w:lang w:val="en-IN"/>
        </w:rPr>
        <w:t xml:space="preserve"> a, the PEP ensures that </w:t>
      </w:r>
      <w:r>
        <w:rPr>
          <w:color w:val="000000"/>
          <w:lang w:val="en-IN"/>
        </w:rPr>
        <w:t>an auditor is allowed to access only the transactions and</w:t>
      </w:r>
      <w:r w:rsidRPr="00176C36">
        <w:rPr>
          <w:color w:val="000000"/>
          <w:lang w:val="en-IN"/>
        </w:rPr>
        <w:t xml:space="preserve"> data related to their</w:t>
      </w:r>
      <w:r>
        <w:rPr>
          <w:color w:val="000000"/>
          <w:lang w:val="en-IN"/>
        </w:rPr>
        <w:t xml:space="preserve"> client</w:t>
      </w:r>
      <w:r w:rsidRPr="00176C36">
        <w:rPr>
          <w:color w:val="000000"/>
          <w:lang w:val="en-IN"/>
        </w:rPr>
        <w:t>.</w:t>
      </w:r>
      <w:r>
        <w:rPr>
          <w:color w:val="000000"/>
          <w:lang w:val="en-IN"/>
        </w:rPr>
        <w:t xml:space="preserve"> Also</w:t>
      </w:r>
      <w:r w:rsidR="00163050">
        <w:rPr>
          <w:color w:val="000000"/>
          <w:lang w:val="en-IN"/>
        </w:rPr>
        <w:t>,</w:t>
      </w:r>
      <w:r>
        <w:rPr>
          <w:color w:val="000000"/>
          <w:lang w:val="en-IN"/>
        </w:rPr>
        <w:t xml:space="preserve"> the routes behind the services are restricted and are specific to the entities (user, admin, auditor) to access.</w:t>
      </w:r>
      <w:r w:rsidRPr="00176C36">
        <w:rPr>
          <w:color w:val="000000"/>
          <w:lang w:val="en-IN"/>
        </w:rPr>
        <w:t xml:space="preserve"> It could also enforce least privilege access, allowing users or services to only perform the actions necessary for their role.</w:t>
      </w:r>
      <w:r w:rsidR="00870CCF">
        <w:rPr>
          <w:color w:val="000000"/>
          <w:lang w:val="en-IN"/>
        </w:rPr>
        <w:t xml:space="preserve"> </w:t>
      </w:r>
      <w:r w:rsidRPr="00176C36">
        <w:rPr>
          <w:color w:val="000000"/>
          <w:lang w:val="en-IN"/>
        </w:rPr>
        <w:t>Additionally, PEPs can be deployed as sidecar containers in microservices, ensuring that access controls are enforced at each service endpoint. This is especially important when services communicate internally within distributed environments.</w:t>
      </w:r>
      <w:r w:rsidR="00163050">
        <w:rPr>
          <w:color w:val="000000"/>
          <w:lang w:val="en-IN"/>
        </w:rPr>
        <w:t xml:space="preserve"> </w:t>
      </w:r>
      <w:r w:rsidRPr="00176C36">
        <w:rPr>
          <w:color w:val="000000"/>
          <w:lang w:val="en-IN"/>
        </w:rPr>
        <w:t>Overall, PEP strengthens security by ensuring consistent policy enforcement, providing granular access control, and mitigating potential attack vectors.</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BEAD770" w14:textId="1659CF37" w:rsidR="00FC06DC" w:rsidRDefault="006608C3" w:rsidP="006A2235">
      <w:pPr>
        <w:tabs>
          <w:tab w:val="left" w:pos="288"/>
        </w:tabs>
        <w:spacing w:after="120" w:line="228" w:lineRule="auto"/>
        <w:jc w:val="both"/>
        <w:rPr>
          <w:color w:val="000000"/>
        </w:rPr>
      </w:pPr>
      <w:r w:rsidRPr="00CC5E1A">
        <w:rPr>
          <w:color w:val="000000"/>
        </w:rPr>
        <w:t>Mutual TLS (mTLS) is a foundational security mechanism in implementing Zero Trust Architecture (ZTA) for microservices</w:t>
      </w:r>
      <w:r w:rsidR="00297F1D">
        <w:rPr>
          <w:color w:val="000000"/>
        </w:rPr>
        <w:t xml:space="preserve"> [21]</w:t>
      </w:r>
      <w:r w:rsidRPr="00CC5E1A">
        <w:rPr>
          <w:color w:val="000000"/>
        </w:rPr>
        <w:t>.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w:t>
      </w:r>
      <w:r w:rsidRPr="00CC5E1A">
        <w:rPr>
          <w:color w:val="000000"/>
          <w:lang w:val="en-IN"/>
        </w:rPr>
        <w:t xml:space="preserve"> </w:t>
      </w:r>
      <w:r w:rsidR="001B2864" w:rsidRPr="001B2864">
        <w:rPr>
          <w:color w:val="000000"/>
        </w:rPr>
        <w:t xml:space="preserve">In </w:t>
      </w:r>
      <w:proofErr w:type="spellStart"/>
      <w:r w:rsidR="001B2864" w:rsidRPr="001B2864">
        <w:rPr>
          <w:color w:val="000000"/>
        </w:rPr>
        <w:t>mTLS</w:t>
      </w:r>
      <w:proofErr w:type="spellEnd"/>
      <w:r w:rsidR="001B2864" w:rsidRPr="001B2864">
        <w:rPr>
          <w:color w:val="000000"/>
        </w:rPr>
        <w:t>, each pod of the cluster gets a unique cryptographic certificate that is issued by a trusted CA. When two services communicate with each other, each party to the communication-up the client and the server upload their certificates in the handshake protocol. Each uses the public key of the CA to verify the certificate of the other party. After verification, the certificates can set up an encrypted communication channel using TLS, or Transport Layer Security.</w:t>
      </w:r>
    </w:p>
    <w:p w14:paraId="62C0719A" w14:textId="2183E4BC" w:rsidR="006608C3" w:rsidRPr="00FC06DC" w:rsidRDefault="006608C3" w:rsidP="006A2235">
      <w:pPr>
        <w:tabs>
          <w:tab w:val="left" w:pos="288"/>
        </w:tabs>
        <w:spacing w:after="120" w:line="228" w:lineRule="auto"/>
        <w:jc w:val="both"/>
        <w:rPr>
          <w:color w:val="000000"/>
          <w:lang w:val="en-IN"/>
        </w:rPr>
      </w:pPr>
      <w:r w:rsidRPr="00CC5E1A">
        <w:rPr>
          <w:color w:val="000000"/>
        </w:rPr>
        <w:t>This ensures that data exchanged between services is not only authenticated but also protected from eavesdropping and tampering.</w:t>
      </w:r>
      <w:r w:rsidR="0005623D">
        <w:rPr>
          <w:color w:val="000000"/>
        </w:rPr>
        <w:t xml:space="preserve"> </w:t>
      </w:r>
      <w:r w:rsidRPr="00CC5E1A">
        <w:rPr>
          <w:color w:val="000000"/>
        </w:rPr>
        <w:t xml:space="preserve">mTLS is integrated into </w:t>
      </w:r>
      <w:r>
        <w:rPr>
          <w:color w:val="000000"/>
        </w:rPr>
        <w:t xml:space="preserve">our application </w:t>
      </w:r>
      <w:r w:rsidRPr="00CC5E1A">
        <w:rPr>
          <w:color w:val="000000"/>
        </w:rPr>
        <w:t xml:space="preserve">service meshes </w:t>
      </w:r>
      <w:r>
        <w:rPr>
          <w:color w:val="000000"/>
        </w:rPr>
        <w:t>using a tool named</w:t>
      </w:r>
      <w:r w:rsidRPr="00CC5E1A">
        <w:rPr>
          <w:color w:val="000000"/>
        </w:rPr>
        <w:t xml:space="preserve"> </w:t>
      </w:r>
      <w:r w:rsidRPr="00B22EB0">
        <w:rPr>
          <w:i/>
          <w:iCs/>
          <w:color w:val="000000"/>
        </w:rPr>
        <w:t>Istio</w:t>
      </w:r>
      <w:r w:rsidRPr="00CC5E1A">
        <w:rPr>
          <w:color w:val="000000"/>
        </w:rPr>
        <w:t xml:space="preserve"> which automate certificate management and enforce mTLS at the network layer. In these environments, mTLS is applied transparently to microservices, without requiring each service to implement its own TLS logic. The service mesh handles certificate issuance, renewal, and rotation, ensuring seamless mTLS enforcement.</w:t>
      </w:r>
      <w:r w:rsidR="00870CCF">
        <w:rPr>
          <w:color w:val="000000"/>
        </w:rPr>
        <w:t xml:space="preserve"> </w:t>
      </w:r>
      <w:r w:rsidRPr="00CC5E1A">
        <w:rPr>
          <w:color w:val="000000"/>
        </w:rPr>
        <w:t>Unlike traditional systems that assume trust once inside the network, mTLS requires that every interaction between services involves identity verification</w:t>
      </w:r>
      <w:r w:rsidR="00297F1D">
        <w:rPr>
          <w:color w:val="000000"/>
        </w:rPr>
        <w:t xml:space="preserve"> [22]</w:t>
      </w:r>
      <w:r w:rsidRPr="00CC5E1A">
        <w:rPr>
          <w:color w:val="000000"/>
        </w:rPr>
        <w:t>. This eliminates the risk of unauthorized services accessing resources, as only those with valid certificates are allowed to communicate.</w:t>
      </w:r>
      <w:r>
        <w:rPr>
          <w:color w:val="000000"/>
        </w:rPr>
        <w:t xml:space="preserve"> </w:t>
      </w:r>
      <w:r w:rsidRPr="00CC5E1A">
        <w:rPr>
          <w:color w:val="000000"/>
        </w:rPr>
        <w:t>When combined with Policy Enforcement Points (PEPs), mTLS strengthens the overall ZTA. The PEP verifies that requests originate from authorized services with valid certificates before granting access to resources.</w:t>
      </w:r>
    </w:p>
    <w:p w14:paraId="58518089" w14:textId="21AB5C30" w:rsidR="006608C3" w:rsidRPr="00045B3D" w:rsidRDefault="006608C3" w:rsidP="00045B3D">
      <w:pPr>
        <w:pStyle w:val="ListParagraph"/>
        <w:numPr>
          <w:ilvl w:val="0"/>
          <w:numId w:val="1"/>
        </w:numPr>
        <w:tabs>
          <w:tab w:val="left" w:pos="288"/>
        </w:tabs>
        <w:spacing w:after="240" w:line="228" w:lineRule="auto"/>
        <w:rPr>
          <w:b/>
          <w:bCs/>
          <w:color w:val="000000"/>
        </w:rPr>
      </w:pPr>
      <w:r w:rsidRPr="00045B3D">
        <w:rPr>
          <w:b/>
          <w:bCs/>
          <w:color w:val="000000"/>
        </w:rPr>
        <w:t>RESULTS</w:t>
      </w:r>
    </w:p>
    <w:p w14:paraId="5D5788FD" w14:textId="2C4F8BBE"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w:t>
      </w:r>
      <w:r w:rsidRPr="001B2864">
        <w:rPr>
          <w:color w:val="000000"/>
        </w:rPr>
        <w:lastRenderedPageBreak/>
        <w:t>implemented: strict access control, continuous authentication, verification of end-users and devices, and proper security protection of sensitive resources by integrating role-based access control and least-privilege 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A00D94" w:rsidRPr="006466FD">
        <w:rPr>
          <w:color w:val="000000"/>
        </w:rPr>
        <w:t>4</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473F82FC">
            <wp:extent cx="2933092" cy="623993"/>
            <wp:effectExtent l="0" t="0" r="635" b="508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5054" cy="630793"/>
                    </a:xfrm>
                    <a:prstGeom prst="rect">
                      <a:avLst/>
                    </a:prstGeom>
                    <a:noFill/>
                  </pic:spPr>
                </pic:pic>
              </a:graphicData>
            </a:graphic>
          </wp:inline>
        </w:drawing>
      </w:r>
    </w:p>
    <w:p w14:paraId="21D04D0F" w14:textId="490CBA37"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4. Node Groups of EKS Cluster deployed as EC2 instances</w:t>
      </w:r>
    </w:p>
    <w:p w14:paraId="5B031DA6" w14:textId="77777777"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 as illustrated in Figure 5</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28BBB253"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5. AWS Lambda Alerts triggered by Falco tool deployed in the cluster</w:t>
      </w:r>
    </w:p>
    <w:p w14:paraId="2005A053" w14:textId="77777777" w:rsidR="005B789E" w:rsidRDefault="004B154F" w:rsidP="00D51BFC">
      <w:pPr>
        <w:tabs>
          <w:tab w:val="left" w:pos="288"/>
        </w:tabs>
        <w:spacing w:after="120" w:line="228" w:lineRule="auto"/>
        <w:jc w:val="both"/>
        <w:rPr>
          <w:color w:val="000000"/>
        </w:rPr>
      </w:pPr>
      <w:r w:rsidRPr="004B154F">
        <w:rPr>
          <w:color w:val="000000"/>
        </w:rPr>
        <w:t>In Spam detection model, Naive Bayes was the best model with F1 score 0.918 and accuracy 0.978 as illustrated in Table 1, showing excellent precision and recall balance. As for the precision, the best accuracy was achieved by SVM with a value of 1.0, and for this model, ROC AUC was also the highest at 0.984. The Logistic Regression model was excellent as well, reporting the F1 score of 0.909. Other models had a bit lower F1 scores but maintained high accuracy across all models in Random Forest and Gradient Boosting.</w:t>
      </w:r>
      <w:r w:rsidR="00A954C9">
        <w:rPr>
          <w:color w:val="000000"/>
        </w:rPr>
        <w:t xml:space="preserve"> </w:t>
      </w:r>
    </w:p>
    <w:p w14:paraId="701253DF" w14:textId="061CEF7E" w:rsidR="00D51BFC" w:rsidRPr="00D51BFC"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w:t>
      </w:r>
      <w:r w:rsidRPr="00D51BFC">
        <w:rPr>
          <w:color w:val="000000"/>
        </w:rPr>
        <w:t xml:space="preserve">and security as shown in Figure </w:t>
      </w:r>
      <w:r w:rsidR="005B36E2">
        <w:rPr>
          <w:color w:val="000000"/>
        </w:rPr>
        <w:t>6</w:t>
      </w:r>
      <w:r w:rsidRPr="00D51BFC">
        <w:rPr>
          <w:color w:val="000000"/>
        </w:rPr>
        <w:t xml:space="preserve">. The APK is securely signed with a private key from a trusted keystore, ensuring 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7</w:t>
      </w:r>
      <w:r w:rsidRPr="00D51BFC">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64"/>
        <w:gridCol w:w="1565"/>
      </w:tblGrid>
      <w:tr w:rsidR="00D51BFC" w:rsidRPr="00D51BFC" w14:paraId="01B3F031" w14:textId="77777777" w:rsidTr="00462B8F">
        <w:tc>
          <w:tcPr>
            <w:tcW w:w="1564"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B54AF9C">
                  <wp:extent cx="745067" cy="1660439"/>
                  <wp:effectExtent l="0" t="0" r="0" b="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2574" cy="1677169"/>
                          </a:xfrm>
                          <a:prstGeom prst="rect">
                            <a:avLst/>
                          </a:prstGeom>
                          <a:noFill/>
                          <a:ln>
                            <a:noFill/>
                          </a:ln>
                        </pic:spPr>
                      </pic:pic>
                    </a:graphicData>
                  </a:graphic>
                </wp:inline>
              </w:drawing>
            </w:r>
          </w:p>
        </w:tc>
        <w:tc>
          <w:tcPr>
            <w:tcW w:w="1564"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D602F7">
                  <wp:extent cx="745067" cy="166044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7528" cy="1688211"/>
                          </a:xfrm>
                          <a:prstGeom prst="rect">
                            <a:avLst/>
                          </a:prstGeom>
                          <a:noFill/>
                          <a:ln>
                            <a:noFill/>
                          </a:ln>
                        </pic:spPr>
                      </pic:pic>
                    </a:graphicData>
                  </a:graphic>
                </wp:inline>
              </w:drawing>
            </w:r>
          </w:p>
        </w:tc>
        <w:tc>
          <w:tcPr>
            <w:tcW w:w="1565"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59051163">
                  <wp:extent cx="745067" cy="1661865"/>
                  <wp:effectExtent l="0" t="0" r="0"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0909" cy="1697199"/>
                          </a:xfrm>
                          <a:prstGeom prst="rect">
                            <a:avLst/>
                          </a:prstGeom>
                          <a:noFill/>
                          <a:ln>
                            <a:noFill/>
                          </a:ln>
                        </pic:spPr>
                      </pic:pic>
                    </a:graphicData>
                  </a:graphic>
                </wp:inline>
              </w:drawing>
            </w:r>
          </w:p>
        </w:tc>
      </w:tr>
    </w:tbl>
    <w:p w14:paraId="2A6D397A" w14:textId="5489B605" w:rsidR="00D51BFC" w:rsidRPr="00543A6A"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6</w:t>
      </w:r>
      <w:r w:rsidRPr="00543A6A">
        <w:rPr>
          <w:color w:val="000000"/>
          <w:sz w:val="16"/>
          <w:szCs w:val="16"/>
        </w:rPr>
        <w:t>. ZeroSMS in production release with security features</w:t>
      </w:r>
    </w:p>
    <w:p w14:paraId="0B25F586"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464DDDB">
            <wp:extent cx="3053477" cy="1464734"/>
            <wp:effectExtent l="0" t="0" r="0" b="254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6"/>
                    <a:stretch>
                      <a:fillRect/>
                    </a:stretch>
                  </pic:blipFill>
                  <pic:spPr>
                    <a:xfrm>
                      <a:off x="0" y="0"/>
                      <a:ext cx="3075689" cy="1475389"/>
                    </a:xfrm>
                    <a:prstGeom prst="rect">
                      <a:avLst/>
                    </a:prstGeom>
                  </pic:spPr>
                </pic:pic>
              </a:graphicData>
            </a:graphic>
          </wp:inline>
        </w:drawing>
      </w:r>
    </w:p>
    <w:p w14:paraId="4A48C376" w14:textId="527001E3" w:rsidR="00D51BFC" w:rsidRPr="00D51BFC" w:rsidRDefault="00D51BFC" w:rsidP="00543A6A">
      <w:pPr>
        <w:tabs>
          <w:tab w:val="left" w:pos="288"/>
        </w:tabs>
        <w:spacing w:after="120" w:line="228" w:lineRule="auto"/>
        <w:rPr>
          <w:color w:val="000000"/>
        </w:rPr>
      </w:pPr>
      <w:r w:rsidRPr="00543A6A">
        <w:rPr>
          <w:color w:val="000000"/>
          <w:sz w:val="16"/>
          <w:szCs w:val="16"/>
        </w:rPr>
        <w:t xml:space="preserve">Fig. </w:t>
      </w:r>
      <w:r w:rsidR="00DE2EA0" w:rsidRPr="00543A6A">
        <w:rPr>
          <w:color w:val="000000"/>
          <w:sz w:val="16"/>
          <w:szCs w:val="16"/>
        </w:rPr>
        <w:t>7.</w:t>
      </w:r>
      <w:r w:rsidRPr="00543A6A">
        <w:rPr>
          <w:color w:val="000000"/>
          <w:sz w:val="16"/>
          <w:szCs w:val="16"/>
        </w:rPr>
        <w:t xml:space="preserve"> ZeroSMS with class name and code Obfuscation</w:t>
      </w:r>
    </w:p>
    <w:p w14:paraId="647F5F08" w14:textId="2BF09BEA" w:rsidR="00D51BFC" w:rsidRPr="00D51BFC" w:rsidRDefault="00D51BFC" w:rsidP="00D51BFC">
      <w:pPr>
        <w:tabs>
          <w:tab w:val="left" w:pos="288"/>
        </w:tabs>
        <w:spacing w:after="120" w:line="228" w:lineRule="auto"/>
        <w:jc w:val="both"/>
        <w:rPr>
          <w:color w:val="000000"/>
        </w:rPr>
      </w:pPr>
      <w:r w:rsidRPr="00D51BFC">
        <w:rPr>
          <w:color w:val="000000"/>
        </w:rPr>
        <w:t xml:space="preserve">The </w:t>
      </w:r>
      <w:proofErr w:type="spellStart"/>
      <w:r w:rsidRPr="00D51BFC">
        <w:rPr>
          <w:color w:val="000000"/>
        </w:rPr>
        <w:t>MobSF</w:t>
      </w:r>
      <w:proofErr w:type="spellEnd"/>
      <w:r w:rsidRPr="00D51BFC">
        <w:rPr>
          <w:color w:val="000000"/>
        </w:rPr>
        <w:t xml:space="preserve"> scan illustrated in Figures </w:t>
      </w:r>
      <w:r w:rsidR="005B36E2">
        <w:rPr>
          <w:color w:val="000000"/>
        </w:rPr>
        <w:t>8</w:t>
      </w:r>
      <w:r w:rsidRPr="00D51BFC">
        <w:rPr>
          <w:color w:val="000000"/>
        </w:rPr>
        <w:t xml:space="preserve"> a) &amp; b) shows ZeroSMS achieving a security score of 57 (Grade B), 83.87% higher than a standard APK, which scored 31 (Grade C). ZeroSMS has SMS permissions and allows "http" traffic for backend connectivity, impacting its security score. In contrast, the standard APK is merely a "Hello World" application built in Android Studio, lacking any additional privileges.</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727ABBAD">
            <wp:extent cx="2986405" cy="1679575"/>
            <wp:effectExtent l="0" t="0" r="4445"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581099F8" w14:textId="182BA33F" w:rsidR="00D51BFC" w:rsidRPr="00543A6A"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0FEFB050"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697ED754" wp14:editId="4217988B">
            <wp:extent cx="2986405" cy="1679575"/>
            <wp:effectExtent l="0" t="0" r="4445" b="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6C83DC66" w14:textId="77777777" w:rsidR="00EE27D3"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567AAA11" w14:textId="77777777" w:rsidR="00CE6D37" w:rsidRDefault="00CE6D37" w:rsidP="00543A6A">
      <w:pPr>
        <w:tabs>
          <w:tab w:val="left" w:pos="288"/>
        </w:tabs>
        <w:spacing w:after="120" w:line="228" w:lineRule="auto"/>
        <w:rPr>
          <w:color w:val="000000"/>
          <w:sz w:val="16"/>
          <w:szCs w:val="16"/>
        </w:rPr>
      </w:pPr>
    </w:p>
    <w:p w14:paraId="27219F2B" w14:textId="2E6EEADE" w:rsidR="00CE6D37" w:rsidRPr="00543A6A" w:rsidRDefault="00CE6D37" w:rsidP="00543A6A">
      <w:pPr>
        <w:tabs>
          <w:tab w:val="left" w:pos="288"/>
        </w:tabs>
        <w:spacing w:after="120" w:line="228" w:lineRule="auto"/>
        <w:rPr>
          <w:color w:val="000000"/>
          <w:sz w:val="16"/>
          <w:szCs w:val="16"/>
        </w:rPr>
        <w:sectPr w:rsidR="00CE6D37" w:rsidRPr="00543A6A" w:rsidSect="006608C3">
          <w:type w:val="continuous"/>
          <w:pgSz w:w="11906" w:h="16838" w:code="9"/>
          <w:pgMar w:top="1134" w:right="890" w:bottom="720" w:left="890" w:header="720" w:footer="720" w:gutter="0"/>
          <w:cols w:num="2" w:space="720"/>
          <w:docGrid w:linePitch="360"/>
        </w:sectPr>
      </w:pPr>
    </w:p>
    <w:p w14:paraId="01AED427" w14:textId="08FADCCC" w:rsidR="00C823E3" w:rsidRPr="00C823E3" w:rsidRDefault="00C823E3" w:rsidP="006A2235">
      <w:pPr>
        <w:spacing w:after="120"/>
        <w:rPr>
          <w:color w:val="000000"/>
          <w:sz w:val="16"/>
          <w:szCs w:val="16"/>
        </w:rPr>
      </w:pPr>
      <w:r w:rsidRPr="00C823E3">
        <w:rPr>
          <w:color w:val="000000"/>
          <w:sz w:val="16"/>
          <w:szCs w:val="16"/>
        </w:rPr>
        <w:lastRenderedPageBreak/>
        <w:t>Table 1. Comparison of Model Performance Metrics</w:t>
      </w:r>
    </w:p>
    <w:p w14:paraId="7EA7D96C" w14:textId="36BCC592" w:rsidR="00C823E3" w:rsidRDefault="00C823E3" w:rsidP="006A2235">
      <w:pPr>
        <w:tabs>
          <w:tab w:val="left" w:pos="288"/>
        </w:tabs>
        <w:spacing w:line="228" w:lineRule="auto"/>
        <w:jc w:val="both"/>
        <w:rPr>
          <w:color w:val="000000"/>
        </w:rPr>
        <w:sectPr w:rsidR="00C823E3" w:rsidSect="002160BC">
          <w:type w:val="continuous"/>
          <w:pgSz w:w="11906" w:h="16838" w:code="9"/>
          <w:pgMar w:top="1134" w:right="890" w:bottom="720" w:left="890" w:header="720" w:footer="720" w:gutter="0"/>
          <w:cols w:space="720"/>
          <w:docGrid w:linePitch="360"/>
        </w:sectPr>
      </w:pPr>
    </w:p>
    <w:tbl>
      <w:tblPr>
        <w:tblStyle w:val="TableGrid1"/>
        <w:tblW w:w="8577" w:type="dxa"/>
        <w:jc w:val="center"/>
        <w:tblLook w:val="04A0" w:firstRow="1" w:lastRow="0" w:firstColumn="1" w:lastColumn="0" w:noHBand="0" w:noVBand="1"/>
      </w:tblPr>
      <w:tblGrid>
        <w:gridCol w:w="1413"/>
        <w:gridCol w:w="656"/>
        <w:gridCol w:w="709"/>
        <w:gridCol w:w="851"/>
        <w:gridCol w:w="865"/>
        <w:gridCol w:w="1261"/>
        <w:gridCol w:w="992"/>
        <w:gridCol w:w="1276"/>
        <w:gridCol w:w="927"/>
      </w:tblGrid>
      <w:tr w:rsidR="00180676" w:rsidRPr="00180676" w14:paraId="799C4464" w14:textId="77777777" w:rsidTr="000A49F9">
        <w:trPr>
          <w:trHeight w:val="312"/>
          <w:jc w:val="center"/>
        </w:trPr>
        <w:tc>
          <w:tcPr>
            <w:tcW w:w="1413" w:type="dxa"/>
            <w:noWrap/>
            <w:hideMark/>
          </w:tcPr>
          <w:p w14:paraId="5B12B39C"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Model</w:t>
            </w:r>
          </w:p>
        </w:tc>
        <w:tc>
          <w:tcPr>
            <w:tcW w:w="283" w:type="dxa"/>
            <w:noWrap/>
            <w:hideMark/>
          </w:tcPr>
          <w:p w14:paraId="77815C08"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F1 Score</w:t>
            </w:r>
          </w:p>
        </w:tc>
        <w:tc>
          <w:tcPr>
            <w:tcW w:w="709" w:type="dxa"/>
            <w:noWrap/>
            <w:hideMark/>
          </w:tcPr>
          <w:p w14:paraId="38B4A27B"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Recall</w:t>
            </w:r>
          </w:p>
        </w:tc>
        <w:tc>
          <w:tcPr>
            <w:tcW w:w="851" w:type="dxa"/>
            <w:noWrap/>
            <w:hideMark/>
          </w:tcPr>
          <w:p w14:paraId="04CA210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Precision</w:t>
            </w:r>
          </w:p>
        </w:tc>
        <w:tc>
          <w:tcPr>
            <w:tcW w:w="865" w:type="dxa"/>
            <w:noWrap/>
            <w:hideMark/>
          </w:tcPr>
          <w:p w14:paraId="5961C2F0"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Accuracy</w:t>
            </w:r>
          </w:p>
        </w:tc>
        <w:tc>
          <w:tcPr>
            <w:tcW w:w="1261" w:type="dxa"/>
            <w:noWrap/>
            <w:hideMark/>
          </w:tcPr>
          <w:p w14:paraId="16805046"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Squared Error</w:t>
            </w:r>
          </w:p>
        </w:tc>
        <w:tc>
          <w:tcPr>
            <w:tcW w:w="992" w:type="dxa"/>
            <w:noWrap/>
            <w:hideMark/>
          </w:tcPr>
          <w:p w14:paraId="53945429"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ROC AUC Score</w:t>
            </w:r>
          </w:p>
        </w:tc>
        <w:tc>
          <w:tcPr>
            <w:tcW w:w="1276" w:type="dxa"/>
            <w:noWrap/>
            <w:hideMark/>
          </w:tcPr>
          <w:p w14:paraId="7C6D94B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Absolute Error</w:t>
            </w:r>
          </w:p>
        </w:tc>
        <w:tc>
          <w:tcPr>
            <w:tcW w:w="927" w:type="dxa"/>
            <w:noWrap/>
            <w:hideMark/>
          </w:tcPr>
          <w:p w14:paraId="12EF18EF"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Specificity</w:t>
            </w:r>
          </w:p>
        </w:tc>
      </w:tr>
      <w:tr w:rsidR="00180676" w:rsidRPr="00180676" w14:paraId="79ECA869" w14:textId="77777777" w:rsidTr="000A49F9">
        <w:trPr>
          <w:trHeight w:val="312"/>
          <w:jc w:val="center"/>
        </w:trPr>
        <w:tc>
          <w:tcPr>
            <w:tcW w:w="1413" w:type="dxa"/>
            <w:hideMark/>
          </w:tcPr>
          <w:p w14:paraId="7AF899A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Naive Bayes</w:t>
            </w:r>
          </w:p>
        </w:tc>
        <w:tc>
          <w:tcPr>
            <w:tcW w:w="283" w:type="dxa"/>
            <w:noWrap/>
            <w:hideMark/>
          </w:tcPr>
          <w:p w14:paraId="2E2C6AA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709" w:type="dxa"/>
            <w:noWrap/>
            <w:hideMark/>
          </w:tcPr>
          <w:p w14:paraId="790526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51" w:type="dxa"/>
            <w:noWrap/>
            <w:hideMark/>
          </w:tcPr>
          <w:p w14:paraId="55AF14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65" w:type="dxa"/>
            <w:noWrap/>
            <w:hideMark/>
          </w:tcPr>
          <w:p w14:paraId="38A198A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A694B2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2474076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0.975</w:t>
            </w:r>
          </w:p>
        </w:tc>
        <w:tc>
          <w:tcPr>
            <w:tcW w:w="1276" w:type="dxa"/>
            <w:noWrap/>
            <w:hideMark/>
          </w:tcPr>
          <w:p w14:paraId="124BFEA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08748A5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0.988</w:t>
            </w:r>
          </w:p>
        </w:tc>
      </w:tr>
      <w:tr w:rsidR="00180676" w:rsidRPr="00180676" w14:paraId="2030CA45" w14:textId="77777777" w:rsidTr="000A49F9">
        <w:trPr>
          <w:trHeight w:val="384"/>
          <w:jc w:val="center"/>
        </w:trPr>
        <w:tc>
          <w:tcPr>
            <w:tcW w:w="1413" w:type="dxa"/>
            <w:hideMark/>
          </w:tcPr>
          <w:p w14:paraId="0705BEC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SVM</w:t>
            </w:r>
          </w:p>
        </w:tc>
        <w:tc>
          <w:tcPr>
            <w:tcW w:w="283" w:type="dxa"/>
            <w:noWrap/>
            <w:hideMark/>
          </w:tcPr>
          <w:p w14:paraId="0275A5A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0.9505</w:t>
            </w:r>
          </w:p>
        </w:tc>
        <w:tc>
          <w:tcPr>
            <w:tcW w:w="709" w:type="dxa"/>
            <w:noWrap/>
            <w:hideMark/>
          </w:tcPr>
          <w:p w14:paraId="7660AFB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641D43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5677904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43E610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6C0318B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1276" w:type="dxa"/>
            <w:noWrap/>
            <w:hideMark/>
          </w:tcPr>
          <w:p w14:paraId="4DD81BB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76AB2ED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1B0F633D" w14:textId="77777777" w:rsidTr="000A49F9">
        <w:trPr>
          <w:trHeight w:val="408"/>
          <w:jc w:val="center"/>
        </w:trPr>
        <w:tc>
          <w:tcPr>
            <w:tcW w:w="1413" w:type="dxa"/>
            <w:hideMark/>
          </w:tcPr>
          <w:p w14:paraId="0ACC7CB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Logistic Regression</w:t>
            </w:r>
          </w:p>
        </w:tc>
        <w:tc>
          <w:tcPr>
            <w:tcW w:w="283" w:type="dxa"/>
            <w:noWrap/>
            <w:hideMark/>
          </w:tcPr>
          <w:p w14:paraId="61D9C63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0.909</w:t>
            </w:r>
          </w:p>
        </w:tc>
        <w:tc>
          <w:tcPr>
            <w:tcW w:w="709" w:type="dxa"/>
            <w:noWrap/>
            <w:hideMark/>
          </w:tcPr>
          <w:p w14:paraId="7A96BD6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0.845</w:t>
            </w:r>
          </w:p>
        </w:tc>
        <w:tc>
          <w:tcPr>
            <w:tcW w:w="851" w:type="dxa"/>
            <w:noWrap/>
            <w:hideMark/>
          </w:tcPr>
          <w:p w14:paraId="03EC9E1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865" w:type="dxa"/>
            <w:noWrap/>
            <w:hideMark/>
          </w:tcPr>
          <w:p w14:paraId="277A90E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414F97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53B3B32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1276" w:type="dxa"/>
            <w:noWrap/>
            <w:hideMark/>
          </w:tcPr>
          <w:p w14:paraId="2FEDE13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53E5342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r w:rsidR="00180676" w:rsidRPr="00180676" w14:paraId="3E37BAB8" w14:textId="77777777" w:rsidTr="000A49F9">
        <w:trPr>
          <w:trHeight w:val="288"/>
          <w:jc w:val="center"/>
        </w:trPr>
        <w:tc>
          <w:tcPr>
            <w:tcW w:w="1413" w:type="dxa"/>
            <w:hideMark/>
          </w:tcPr>
          <w:p w14:paraId="385EDA2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Random Forest</w:t>
            </w:r>
          </w:p>
        </w:tc>
        <w:tc>
          <w:tcPr>
            <w:tcW w:w="283" w:type="dxa"/>
            <w:noWrap/>
            <w:hideMark/>
          </w:tcPr>
          <w:p w14:paraId="29E4C0F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0.905</w:t>
            </w:r>
          </w:p>
        </w:tc>
        <w:tc>
          <w:tcPr>
            <w:tcW w:w="709" w:type="dxa"/>
            <w:noWrap/>
            <w:hideMark/>
          </w:tcPr>
          <w:p w14:paraId="47CBD50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1B7DC0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3580259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102F359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7E271D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0.981</w:t>
            </w:r>
          </w:p>
        </w:tc>
        <w:tc>
          <w:tcPr>
            <w:tcW w:w="1276" w:type="dxa"/>
            <w:noWrap/>
            <w:hideMark/>
          </w:tcPr>
          <w:p w14:paraId="3DAFDDD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1EDDCE15"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3FF7891B" w14:textId="77777777" w:rsidTr="000A49F9">
        <w:trPr>
          <w:trHeight w:val="372"/>
          <w:jc w:val="center"/>
        </w:trPr>
        <w:tc>
          <w:tcPr>
            <w:tcW w:w="1413" w:type="dxa"/>
            <w:hideMark/>
          </w:tcPr>
          <w:p w14:paraId="7B02FC6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Gradient Boosting</w:t>
            </w:r>
          </w:p>
        </w:tc>
        <w:tc>
          <w:tcPr>
            <w:tcW w:w="283" w:type="dxa"/>
            <w:noWrap/>
            <w:hideMark/>
          </w:tcPr>
          <w:p w14:paraId="3C9B152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0.87</w:t>
            </w:r>
          </w:p>
        </w:tc>
        <w:tc>
          <w:tcPr>
            <w:tcW w:w="709" w:type="dxa"/>
            <w:noWrap/>
            <w:hideMark/>
          </w:tcPr>
          <w:p w14:paraId="24864E8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0.781</w:t>
            </w:r>
          </w:p>
        </w:tc>
        <w:tc>
          <w:tcPr>
            <w:tcW w:w="851" w:type="dxa"/>
            <w:noWrap/>
            <w:hideMark/>
          </w:tcPr>
          <w:p w14:paraId="4F8086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865" w:type="dxa"/>
            <w:noWrap/>
            <w:hideMark/>
          </w:tcPr>
          <w:p w14:paraId="10C5678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0.969</w:t>
            </w:r>
          </w:p>
        </w:tc>
        <w:tc>
          <w:tcPr>
            <w:tcW w:w="1261" w:type="dxa"/>
            <w:noWrap/>
            <w:hideMark/>
          </w:tcPr>
          <w:p w14:paraId="002069D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92" w:type="dxa"/>
            <w:noWrap/>
            <w:hideMark/>
          </w:tcPr>
          <w:p w14:paraId="768892B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0.973</w:t>
            </w:r>
          </w:p>
        </w:tc>
        <w:tc>
          <w:tcPr>
            <w:tcW w:w="1276" w:type="dxa"/>
            <w:noWrap/>
            <w:hideMark/>
          </w:tcPr>
          <w:p w14:paraId="7070CF1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27" w:type="dxa"/>
            <w:noWrap/>
            <w:hideMark/>
          </w:tcPr>
          <w:p w14:paraId="32C4B8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bl>
    <w:p w14:paraId="084D135A" w14:textId="77777777" w:rsidR="00180676" w:rsidRDefault="00180676" w:rsidP="006A2235">
      <w:pPr>
        <w:tabs>
          <w:tab w:val="left" w:pos="288"/>
        </w:tabs>
        <w:spacing w:line="228" w:lineRule="auto"/>
        <w:rPr>
          <w:color w:val="000000"/>
        </w:rPr>
        <w:sectPr w:rsidR="00180676" w:rsidSect="002160BC">
          <w:type w:val="continuous"/>
          <w:pgSz w:w="11906" w:h="16838" w:code="9"/>
          <w:pgMar w:top="1134" w:right="890" w:bottom="720" w:left="890" w:header="720" w:footer="720" w:gutter="0"/>
          <w:cols w:space="720"/>
          <w:docGrid w:linePitch="360"/>
        </w:sectPr>
      </w:pPr>
    </w:p>
    <w:p w14:paraId="5E157041" w14:textId="700D3648" w:rsidR="006608C3" w:rsidRPr="00687C97" w:rsidRDefault="006608C3" w:rsidP="00045B3D">
      <w:pPr>
        <w:pStyle w:val="ListParagraph"/>
        <w:numPr>
          <w:ilvl w:val="0"/>
          <w:numId w:val="1"/>
        </w:numPr>
        <w:spacing w:before="160" w:after="120"/>
        <w:rPr>
          <w:rStyle w:val="oypena"/>
          <w:b/>
          <w:bCs/>
          <w:sz w:val="18"/>
          <w:szCs w:val="18"/>
        </w:rPr>
      </w:pPr>
      <w:r w:rsidRPr="00687C97">
        <w:rPr>
          <w:b/>
          <w:bCs/>
        </w:rPr>
        <w:t>CONCLUSION</w:t>
      </w:r>
      <w:r w:rsidR="003B50E8">
        <w:rPr>
          <w:b/>
          <w:bCs/>
        </w:rPr>
        <w:t xml:space="preserve"> AND FUTURE WORK</w:t>
      </w:r>
    </w:p>
    <w:p w14:paraId="239B2EB8" w14:textId="00C6842A" w:rsidR="00306D41" w:rsidRPr="00306D41" w:rsidRDefault="00306D41" w:rsidP="00306D41">
      <w:pPr>
        <w:spacing w:after="120"/>
        <w:jc w:val="both"/>
        <w:rPr>
          <w:rStyle w:val="oypena"/>
        </w:rPr>
      </w:pPr>
      <w:r w:rsidRPr="00306D41">
        <w:rPr>
          <w:rStyle w:val="oypena"/>
        </w:rPr>
        <w:t xml:space="preserve">The implementation of Zero Trust Architecture (ZTA) marks a significant shift in cybersecurity strategies, particularly for cloud-based and decentralized systems. Traditional perimeter-based security models have proven inadequate against sophisticated cyber threats and the challenges posed by remote work. By eliminating implicit trust and enforcing continuous verification of users and devices, ZTA addresses vulnerabilities in legacy frameworks. Technologies like Kubernetes and JSON Web Tokens (JWT) are vital in deploying Zero Trust principles, enabling fine-grained access control and dynamic policy enforcement. </w:t>
      </w:r>
      <w:r w:rsidR="006A7F86" w:rsidRPr="006A7F86">
        <w:t xml:space="preserve">Continuous logging and monitoring enhance the threat detection and response capabilities of an organization while establishing a security-aware culture. In digital transformation, Zero Trust models will form an </w:t>
      </w:r>
      <w:r w:rsidR="00506DAF" w:rsidRPr="006A7F86">
        <w:t>important countermeasure</w:t>
      </w:r>
      <w:r w:rsidR="006A7F86" w:rsidRPr="006A7F86">
        <w:t xml:space="preserve"> against risks in contemporary computing environments. Future studies should focus on the challenges encountered in the application of ZTA in different contexts such as IoT and decentralized identity management contexts.</w:t>
      </w:r>
      <w:r w:rsidR="006A7F86">
        <w:t xml:space="preserve"> </w:t>
      </w:r>
      <w:r w:rsidRPr="00306D41">
        <w:rPr>
          <w:rStyle w:val="oypena"/>
        </w:rPr>
        <w:t>Enhancements to the Zero Trust application could include advanced behavioral analytics for detecting anomalous activities and integrating machine learning algorithms for adaptive risk scoring to adjust access privileges in real-time.</w:t>
      </w:r>
    </w:p>
    <w:p w14:paraId="12DCB54D" w14:textId="77777777" w:rsidR="006608C3" w:rsidRPr="00687C97" w:rsidRDefault="006608C3" w:rsidP="00045B3D">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382411EE" w14:textId="77777777" w:rsidR="006608C3" w:rsidRPr="002A68E8" w:rsidRDefault="006608C3" w:rsidP="006A2235">
      <w:pPr>
        <w:pStyle w:val="references"/>
        <w:ind w:left="0"/>
        <w:rPr>
          <w:rStyle w:val="oypena"/>
        </w:rPr>
      </w:pPr>
      <w:bookmarkStart w:id="0" w:name="_Hlk179711827"/>
      <w:bookmarkStart w:id="1" w:name="_Hlk179732711"/>
      <w:bookmarkStart w:id="2"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5AD0B1D3" w14:textId="77777777" w:rsidR="006608C3" w:rsidRPr="002A68E8" w:rsidRDefault="006608C3" w:rsidP="006A2235">
      <w:pPr>
        <w:pStyle w:val="references"/>
        <w:ind w:left="0"/>
        <w:rPr>
          <w:rStyle w:val="oypena"/>
        </w:rPr>
      </w:pPr>
      <w:r w:rsidRPr="002A68E8">
        <w:rPr>
          <w:rStyle w:val="oypena"/>
        </w:rPr>
        <w:t>S. Rose, O. Borchert, S. Mitchell, and S. Connelly, NIST Special Publication 800-207 Zero Trust Architecture. Gaithersburg, MD: National Institute of Standards and Technology (NIST), 2020.</w:t>
      </w:r>
    </w:p>
    <w:p w14:paraId="1342C7BE" w14:textId="77777777" w:rsidR="006608C3" w:rsidRPr="002A68E8" w:rsidRDefault="006608C3" w:rsidP="006A2235">
      <w:pPr>
        <w:pStyle w:val="references"/>
        <w:ind w:left="0"/>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3F58092" w14:textId="28A0FC10" w:rsidR="006608C3" w:rsidRPr="002A68E8" w:rsidRDefault="006608C3" w:rsidP="006A2235">
      <w:pPr>
        <w:pStyle w:val="references"/>
        <w:ind w:left="0"/>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sidR="00B22EB0">
        <w:rPr>
          <w:rStyle w:val="oypena"/>
        </w:rPr>
        <w:t>Kubernetes</w:t>
      </w:r>
      <w:r w:rsidRPr="002A68E8">
        <w:rPr>
          <w:rStyle w:val="oypena"/>
        </w:rPr>
        <w:t>: Isolation and Access Control Strategies," ESP Journal of Engineering &amp; Technology Advancements, vol. 1, no. 2, pp. 45-52, 2021.</w:t>
      </w:r>
    </w:p>
    <w:p w14:paraId="7C520B85" w14:textId="77777777" w:rsidR="006608C3" w:rsidRPr="002A68E8" w:rsidRDefault="006608C3" w:rsidP="006A2235">
      <w:pPr>
        <w:pStyle w:val="references"/>
        <w:ind w:left="0"/>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7290ED24" w14:textId="75848DF8" w:rsidR="006608C3" w:rsidRDefault="006608C3" w:rsidP="006A2235">
      <w:pPr>
        <w:pStyle w:val="references"/>
        <w:ind w:left="0"/>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sidR="00B22EB0">
        <w:rPr>
          <w:rStyle w:val="oypena"/>
        </w:rPr>
        <w:t>Kubernetes</w:t>
      </w:r>
      <w:r w:rsidRPr="002A68E8">
        <w:rPr>
          <w:rStyle w:val="oypena"/>
        </w:rPr>
        <w:t xml:space="preserve"> Clusters," in Proc. IEEE International Conference on Communications (ICC 2023), Rome, Italy, 28 May - 01 June, 2023, pp. 567-574.</w:t>
      </w:r>
    </w:p>
    <w:p w14:paraId="358F0213" w14:textId="03DAC710" w:rsidR="002160BC" w:rsidRDefault="002160BC" w:rsidP="002160BC">
      <w:pPr>
        <w:pStyle w:val="references"/>
        <w:ind w:left="0"/>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Pr>
          <w:rStyle w:val="oypena"/>
        </w:rPr>
        <w:t>Kubernetes</w:t>
      </w:r>
      <w:r w:rsidRPr="002A68E8">
        <w:rPr>
          <w:rStyle w:val="oypena"/>
        </w:rPr>
        <w:t>," in Proc. 2021 6th International Conference for Convergence in Technology (I2CT), Pune, India, Apr. 2021, pp. 1-5.</w:t>
      </w:r>
    </w:p>
    <w:p w14:paraId="7ABD7501" w14:textId="10E240A1" w:rsidR="002160BC" w:rsidRPr="002A68E8" w:rsidRDefault="002160BC" w:rsidP="00901688">
      <w:pPr>
        <w:pStyle w:val="references"/>
        <w:ind w:left="0"/>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"Improvising JSON Web Token Authentication in SDN," in Proc. 2022</w:t>
      </w:r>
      <w:r w:rsidR="00901688">
        <w:rPr>
          <w:rStyle w:val="oypena"/>
        </w:rPr>
        <w:t xml:space="preserve"> </w:t>
      </w:r>
      <w:r w:rsidRPr="002A68E8">
        <w:rPr>
          <w:rStyle w:val="oypena"/>
        </w:rPr>
        <w:t>International Conference on Communication, Computing and Internet of Things (IC3IoT), Mar. 2022. DOI: 10.1109/IC3IOT53935.2022.9767873.</w:t>
      </w:r>
    </w:p>
    <w:p w14:paraId="1942E9D7" w14:textId="77777777" w:rsidR="006608C3" w:rsidRPr="002A68E8" w:rsidRDefault="006608C3" w:rsidP="006A2235">
      <w:pPr>
        <w:pStyle w:val="references"/>
        <w:ind w:left="0"/>
        <w:rPr>
          <w:rStyle w:val="oypena"/>
        </w:rPr>
      </w:pPr>
      <w:r w:rsidRPr="002A68E8">
        <w:rPr>
          <w:rStyle w:val="oypena"/>
        </w:rPr>
        <w:t xml:space="preserve">A. Bucko, K. </w:t>
      </w:r>
      <w:proofErr w:type="spellStart"/>
      <w:r w:rsidRPr="002A68E8">
        <w:rPr>
          <w:rStyle w:val="oypena"/>
        </w:rPr>
        <w:t>Vishi</w:t>
      </w:r>
      <w:proofErr w:type="spellEnd"/>
      <w:r w:rsidRPr="002A68E8">
        <w:rPr>
          <w:rStyle w:val="oypena"/>
        </w:rPr>
        <w:t>, B. Krasniqi, and B. Rexha, "Enhancing JWT Authentication and Authorization in Web Applications Based on User Behavior History," Computers, vol. 12, no. 4, pp. 78-85, 2023. DOI: https://doi.org/10.3390/computers12040078.</w:t>
      </w:r>
    </w:p>
    <w:p w14:paraId="371190E2" w14:textId="77777777" w:rsidR="006608C3" w:rsidRPr="002A68E8" w:rsidRDefault="006608C3" w:rsidP="006A2235">
      <w:pPr>
        <w:pStyle w:val="references"/>
        <w:ind w:left="0"/>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37EFF549" w14:textId="77777777" w:rsidR="006608C3" w:rsidRPr="002A68E8" w:rsidRDefault="006608C3" w:rsidP="006A2235">
      <w:pPr>
        <w:pStyle w:val="references"/>
        <w:ind w:left="0"/>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0BA1BA6E" w14:textId="77777777" w:rsidR="006608C3" w:rsidRPr="002A68E8" w:rsidRDefault="006608C3" w:rsidP="006A2235">
      <w:pPr>
        <w:pStyle w:val="references"/>
        <w:ind w:left="0"/>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79B752" w14:textId="77777777" w:rsidR="006608C3" w:rsidRPr="002A68E8" w:rsidRDefault="006608C3" w:rsidP="006A2235">
      <w:pPr>
        <w:pStyle w:val="references"/>
        <w:ind w:left="0"/>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167AA8D2" w14:textId="77777777" w:rsidR="006608C3" w:rsidRPr="002A68E8" w:rsidRDefault="006608C3" w:rsidP="006A2235">
      <w:pPr>
        <w:pStyle w:val="references"/>
        <w:ind w:left="0"/>
        <w:rPr>
          <w:rStyle w:val="oypena"/>
        </w:rPr>
      </w:pPr>
      <w:r w:rsidRPr="002A68E8">
        <w:rPr>
          <w:rStyle w:val="oypena"/>
        </w:rPr>
        <w:t>A. I. Weinberg and K. Cohen, "Zero Trust Implementation in the Emerging Technologies Era: A Survey," Complex Engineering Systems, vol. 4, pp. 16-28, 2024. DOI: http://dx.doi.org/10.20517/ces.2024.41.</w:t>
      </w:r>
    </w:p>
    <w:p w14:paraId="7AAB4692" w14:textId="77777777" w:rsidR="006608C3" w:rsidRPr="002A68E8" w:rsidRDefault="006608C3" w:rsidP="006A2235">
      <w:pPr>
        <w:pStyle w:val="references"/>
        <w:ind w:left="0"/>
        <w:rPr>
          <w:rStyle w:val="oypena"/>
        </w:rPr>
      </w:pPr>
      <w:r w:rsidRPr="002A68E8">
        <w:rPr>
          <w:rStyle w:val="oypena"/>
        </w:rPr>
        <w:t>H. Kang, G. Liu, Q. Wang, L. Meng, and J. Liu, "Theory and Application of Zero Trust Security: A Brief Survey," Entropy, vol. 25, no. 12, 2023.</w:t>
      </w:r>
    </w:p>
    <w:p w14:paraId="17BF376B" w14:textId="77777777" w:rsidR="006608C3" w:rsidRPr="002A68E8" w:rsidRDefault="006608C3" w:rsidP="006A2235">
      <w:pPr>
        <w:pStyle w:val="references"/>
        <w:ind w:left="0"/>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1DBDB866" w14:textId="77777777" w:rsidR="006608C3" w:rsidRPr="002A68E8" w:rsidRDefault="006608C3" w:rsidP="006A2235">
      <w:pPr>
        <w:pStyle w:val="references"/>
        <w:ind w:left="0"/>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1257E132" w14:textId="77777777" w:rsidR="006608C3" w:rsidRPr="002A68E8" w:rsidRDefault="006608C3" w:rsidP="006A2235">
      <w:pPr>
        <w:pStyle w:val="references"/>
        <w:ind w:left="0"/>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0670139" w14:textId="56DB19A2" w:rsidR="006608C3" w:rsidRPr="002A68E8" w:rsidRDefault="006608C3" w:rsidP="006A2235">
      <w:pPr>
        <w:pStyle w:val="references"/>
        <w:ind w:left="0"/>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sidR="00B22EB0">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1AA6BB2E" w14:textId="77777777" w:rsidR="006608C3" w:rsidRPr="002A68E8" w:rsidRDefault="006608C3" w:rsidP="006A2235">
      <w:pPr>
        <w:pStyle w:val="references"/>
        <w:ind w:left="0"/>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09679487" w14:textId="77777777" w:rsidR="006608C3" w:rsidRPr="002A68E8" w:rsidRDefault="006608C3" w:rsidP="006A2235">
      <w:pPr>
        <w:pStyle w:val="references"/>
        <w:ind w:left="0"/>
        <w:rPr>
          <w:rStyle w:val="oypena"/>
        </w:rPr>
      </w:pPr>
      <w:r w:rsidRPr="002A68E8">
        <w:rPr>
          <w:rStyle w:val="oypena"/>
        </w:rPr>
        <w:t>A. Kurbatov, Design and Implementation of Secure Communication Between Microservices, Master’s thesis, Aalto University, Espoo, Finland, 2020.</w:t>
      </w:r>
    </w:p>
    <w:p w14:paraId="2CDFD584" w14:textId="56ED33B6" w:rsidR="00870CCF" w:rsidRDefault="006608C3" w:rsidP="006608C3">
      <w:pPr>
        <w:pStyle w:val="references"/>
        <w:ind w:left="0"/>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0"/>
      <w:bookmarkEnd w:id="1"/>
      <w:bookmarkEnd w:id="2"/>
    </w:p>
    <w:sectPr w:rsidR="00870CCF" w:rsidSect="002160BC">
      <w:type w:val="continuous"/>
      <w:pgSz w:w="11906" w:h="16838" w:code="9"/>
      <w:pgMar w:top="1134" w:right="890" w:bottom="720" w:left="89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0"/>
  </w:num>
  <w:num w:numId="2" w16cid:durableId="2024089563">
    <w:abstractNumId w:val="2"/>
  </w:num>
  <w:num w:numId="3" w16cid:durableId="176315544">
    <w:abstractNumId w:val="3"/>
  </w:num>
  <w:num w:numId="4" w16cid:durableId="719743713">
    <w:abstractNumId w:val="4"/>
  </w:num>
  <w:num w:numId="5" w16cid:durableId="1614823984">
    <w:abstractNumId w:val="1"/>
  </w:num>
  <w:num w:numId="6" w16cid:durableId="1719932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DF8"/>
    <w:rsid w:val="000437B5"/>
    <w:rsid w:val="00045B3D"/>
    <w:rsid w:val="0005623D"/>
    <w:rsid w:val="0008453C"/>
    <w:rsid w:val="00085DDA"/>
    <w:rsid w:val="00090504"/>
    <w:rsid w:val="000A49F9"/>
    <w:rsid w:val="000C412B"/>
    <w:rsid w:val="000E3649"/>
    <w:rsid w:val="000E3E0E"/>
    <w:rsid w:val="00103B42"/>
    <w:rsid w:val="00120FF3"/>
    <w:rsid w:val="00163050"/>
    <w:rsid w:val="00180676"/>
    <w:rsid w:val="001B2864"/>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B154F"/>
    <w:rsid w:val="00506DAF"/>
    <w:rsid w:val="00543A6A"/>
    <w:rsid w:val="00544B9A"/>
    <w:rsid w:val="00573234"/>
    <w:rsid w:val="0058315F"/>
    <w:rsid w:val="005B36E2"/>
    <w:rsid w:val="005B789E"/>
    <w:rsid w:val="005D0369"/>
    <w:rsid w:val="005E2F85"/>
    <w:rsid w:val="00600445"/>
    <w:rsid w:val="00632CC8"/>
    <w:rsid w:val="0065438E"/>
    <w:rsid w:val="006608C3"/>
    <w:rsid w:val="00695B41"/>
    <w:rsid w:val="006A2235"/>
    <w:rsid w:val="006A7F86"/>
    <w:rsid w:val="007509B9"/>
    <w:rsid w:val="00756C26"/>
    <w:rsid w:val="007E55AA"/>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E2A3D"/>
    <w:rsid w:val="00A00D94"/>
    <w:rsid w:val="00A63473"/>
    <w:rsid w:val="00A63FC1"/>
    <w:rsid w:val="00A954C9"/>
    <w:rsid w:val="00AA75FF"/>
    <w:rsid w:val="00AD5BEE"/>
    <w:rsid w:val="00B22EB0"/>
    <w:rsid w:val="00B35798"/>
    <w:rsid w:val="00BC3474"/>
    <w:rsid w:val="00BD5971"/>
    <w:rsid w:val="00C12A2C"/>
    <w:rsid w:val="00C71E9F"/>
    <w:rsid w:val="00C823E3"/>
    <w:rsid w:val="00CD5EAE"/>
    <w:rsid w:val="00CE6D37"/>
    <w:rsid w:val="00D375D2"/>
    <w:rsid w:val="00D457F3"/>
    <w:rsid w:val="00D51875"/>
    <w:rsid w:val="00D51BFC"/>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9B9"/>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mailto:ch.en.u4cys21014@ch.students.amrita.edu"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4.png"/><Relationship Id="rId5" Type="http://schemas.openxmlformats.org/officeDocument/2006/relationships/hyperlink" Target="mailto:ch.en.u4cys21026@ch.students.amrita.edu" TargetMode="Externa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6</Pages>
  <Words>4851</Words>
  <Characters>27652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93</cp:revision>
  <dcterms:created xsi:type="dcterms:W3CDTF">2024-10-15T01:53:00Z</dcterms:created>
  <dcterms:modified xsi:type="dcterms:W3CDTF">2025-02-01T06:05:00Z</dcterms:modified>
</cp:coreProperties>
</file>