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25" w:rsidRDefault="00512D37" w:rsidP="00866B25">
      <w:r>
        <w:tab/>
        <w:t xml:space="preserve">All the </w:t>
      </w:r>
      <w:r w:rsidR="00C639DD">
        <w:t xml:space="preserve">independent variables in </w:t>
      </w:r>
      <w:r w:rsidRPr="00E467B1">
        <w:rPr>
          <w:u w:color="82C42A"/>
        </w:rPr>
        <w:t>multicollinearity</w:t>
      </w:r>
      <w:r w:rsidRPr="00E467B1">
        <w:t xml:space="preserve"> </w:t>
      </w:r>
      <w:r w:rsidR="00866B25" w:rsidRPr="00866B25">
        <w:rPr>
          <w:u w:val="dottedHeavy" w:color="82C42A"/>
        </w:rPr>
        <w:t>are</w:t>
      </w:r>
      <w:r w:rsidRPr="00051FD6">
        <w:t xml:space="preserve"> </w:t>
      </w:r>
      <w:r>
        <w:t>larger than 80 percent.</w:t>
      </w:r>
      <w:r w:rsidR="00C639DD">
        <w:t xml:space="preserve"> The </w:t>
      </w:r>
      <w:r w:rsidR="00866B25">
        <w:t xml:space="preserve">rules for the project </w:t>
      </w:r>
      <w:r w:rsidR="00866B25" w:rsidRPr="00866B25">
        <w:rPr>
          <w:u w:val="dottedHeavy" w:color="82C42A"/>
        </w:rPr>
        <w:t>were</w:t>
      </w:r>
      <w:r w:rsidR="00C639DD" w:rsidRPr="00051FD6">
        <w:t xml:space="preserve"> </w:t>
      </w:r>
      <w:r w:rsidR="00C639DD">
        <w:t xml:space="preserve">to drop </w:t>
      </w:r>
      <w:r w:rsidR="00C639DD" w:rsidRPr="00E467B1">
        <w:rPr>
          <w:u w:color="82C42A"/>
        </w:rPr>
        <w:t>maximum</w:t>
      </w:r>
      <w:r w:rsidR="00C639DD" w:rsidRPr="00E467B1">
        <w:t xml:space="preserve"> </w:t>
      </w:r>
      <w:r w:rsidR="00C639DD">
        <w:t xml:space="preserve">of 5 variables. </w:t>
      </w:r>
      <w:r w:rsidR="00866B25">
        <w:t xml:space="preserve">If I drop more variables, there will be one or two variables left. </w:t>
      </w:r>
      <w:bookmarkStart w:id="0" w:name="_GoBack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961"/>
        <w:gridCol w:w="2403"/>
        <w:gridCol w:w="2383"/>
        <w:gridCol w:w="1829"/>
      </w:tblGrid>
      <w:tr w:rsidR="00560BE8" w:rsidTr="00560BE8">
        <w:tc>
          <w:tcPr>
            <w:tcW w:w="2961" w:type="dxa"/>
          </w:tcPr>
          <w:p w:rsidR="00560BE8" w:rsidRDefault="00560BE8" w:rsidP="000C3C4F">
            <w:pPr>
              <w:jc w:val="center"/>
            </w:pPr>
            <w:r>
              <w:t>Variables</w:t>
            </w:r>
          </w:p>
        </w:tc>
        <w:tc>
          <w:tcPr>
            <w:tcW w:w="2403" w:type="dxa"/>
          </w:tcPr>
          <w:p w:rsidR="00560BE8" w:rsidRDefault="00560BE8" w:rsidP="000C3C4F">
            <w:pPr>
              <w:jc w:val="center"/>
            </w:pPr>
            <w:r>
              <w:t>R Square for Multicollinearity</w:t>
            </w:r>
          </w:p>
        </w:tc>
        <w:tc>
          <w:tcPr>
            <w:tcW w:w="2383" w:type="dxa"/>
          </w:tcPr>
          <w:p w:rsidR="00560BE8" w:rsidRDefault="00560BE8" w:rsidP="000C3C4F">
            <w:pPr>
              <w:jc w:val="center"/>
            </w:pPr>
            <w:proofErr w:type="spellStart"/>
            <w:r w:rsidRPr="00E467B1">
              <w:rPr>
                <w:u w:color="82C42A"/>
              </w:rPr>
              <w:t>Multcollinearity</w:t>
            </w:r>
            <w:proofErr w:type="spellEnd"/>
            <w:r w:rsidRPr="00E467B1">
              <w:t xml:space="preserve"> </w:t>
            </w:r>
            <w:r>
              <w:t xml:space="preserve">(More than </w:t>
            </w:r>
            <w:proofErr w:type="gramStart"/>
            <w:r>
              <w:t>80%</w:t>
            </w:r>
            <w:proofErr w:type="gramEnd"/>
            <w:r>
              <w:t>?)</w:t>
            </w:r>
          </w:p>
        </w:tc>
        <w:tc>
          <w:tcPr>
            <w:tcW w:w="1829" w:type="dxa"/>
          </w:tcPr>
          <w:p w:rsidR="00560BE8" w:rsidRPr="00560BE8" w:rsidRDefault="00560BE8" w:rsidP="000C3C4F">
            <w:pPr>
              <w:jc w:val="center"/>
            </w:pPr>
            <w:r>
              <w:t>Variance Inflationary Factory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U.S. Population (in million) (X1)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0.9888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560BE8" w:rsidP="000C3C4F">
            <w:r>
              <w:t>89.5560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Personal Saving Rate (X2)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0.9989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560BE8" w:rsidP="000C3C4F">
            <w:r>
              <w:t>886.6019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Average unemployment rate (X3)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0.99902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560BE8" w:rsidP="000C3C4F">
            <w:r>
              <w:t>1015.4628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Inflation Rates (X4)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0.9986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1547E2" w:rsidP="000C3C4F">
            <w:r>
              <w:t>694.4186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Housing Start (in thousands) (X5)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0.9985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1547E2" w:rsidP="000C3C4F">
            <w:r>
              <w:t>684.9241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National Debt (in Trillions) (X6)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0.9989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1547E2" w:rsidP="000C3C4F">
            <w:r>
              <w:t>927.3734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Gold (Average Price) (X7)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0.99903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1547E2" w:rsidP="000C3C4F">
            <w:r>
              <w:t>1030.2016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U.S. Imports (in Billions) (X8)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0.9965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1547E2" w:rsidP="000C3C4F">
            <w:r>
              <w:t>286.7632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U.S. Imports (in Billions) (X9)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0.9988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1547E2" w:rsidP="000C3C4F">
            <w:r>
              <w:t>801.4526</w:t>
            </w:r>
          </w:p>
        </w:tc>
      </w:tr>
      <w:tr w:rsidR="00560BE8" w:rsidTr="00560BE8">
        <w:tc>
          <w:tcPr>
            <w:tcW w:w="2961" w:type="dxa"/>
          </w:tcPr>
          <w:p w:rsidR="00560BE8" w:rsidRDefault="00560BE8" w:rsidP="000C3C4F">
            <w:r>
              <w:t>The political party of the US President (X10)</w:t>
            </w:r>
          </w:p>
        </w:tc>
        <w:tc>
          <w:tcPr>
            <w:tcW w:w="2403" w:type="dxa"/>
          </w:tcPr>
          <w:p w:rsidR="00560BE8" w:rsidRDefault="00560BE8" w:rsidP="00560BE8">
            <w:pPr>
              <w:jc w:val="center"/>
            </w:pPr>
            <w:r>
              <w:t>0.99902</w:t>
            </w:r>
          </w:p>
        </w:tc>
        <w:tc>
          <w:tcPr>
            <w:tcW w:w="2383" w:type="dxa"/>
          </w:tcPr>
          <w:p w:rsidR="00560BE8" w:rsidRDefault="00560BE8" w:rsidP="00560BE8">
            <w:pPr>
              <w:jc w:val="center"/>
            </w:pPr>
            <w:r>
              <w:t>Yes</w:t>
            </w:r>
          </w:p>
        </w:tc>
        <w:tc>
          <w:tcPr>
            <w:tcW w:w="1829" w:type="dxa"/>
          </w:tcPr>
          <w:p w:rsidR="00560BE8" w:rsidRDefault="001547E2" w:rsidP="000C3C4F">
            <w:r>
              <w:t>1018.5681</w:t>
            </w:r>
          </w:p>
        </w:tc>
      </w:tr>
    </w:tbl>
    <w:p w:rsidR="00560BE8" w:rsidRDefault="00560BE8" w:rsidP="00866B25"/>
    <w:tbl>
      <w:tblPr>
        <w:tblW w:w="5360" w:type="dxa"/>
        <w:tblInd w:w="93" w:type="dxa"/>
        <w:tblLook w:val="04A0" w:firstRow="1" w:lastRow="0" w:firstColumn="1" w:lastColumn="0" w:noHBand="0" w:noVBand="1"/>
      </w:tblPr>
      <w:tblGrid>
        <w:gridCol w:w="4180"/>
        <w:gridCol w:w="1276"/>
      </w:tblGrid>
      <w:tr w:rsidR="001A377E" w:rsidRPr="001A377E" w:rsidTr="001A377E">
        <w:trPr>
          <w:trHeight w:val="630"/>
        </w:trPr>
        <w:tc>
          <w:tcPr>
            <w:tcW w:w="4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377E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377E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-10136.2126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U.S. Population (in million) (X1)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62.4612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Personal Savings Rate (X2)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-83.2489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Average unemployment rate (X3)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23.5805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Inflation Rates (X4)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-58.2224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Housing Start (in thousands) (X5)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-0.4515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National Debt (in Trillions) (X6)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108.0037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Gold (Average Price) (X7)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-0.1458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U.S. Imports (in Billions) (X8)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3.6246</w:t>
            </w:r>
          </w:p>
        </w:tc>
      </w:tr>
      <w:tr w:rsidR="001A377E" w:rsidRPr="001A377E" w:rsidTr="001A377E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U.S. Exports (in Billions) (X9)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-2.1721</w:t>
            </w:r>
          </w:p>
        </w:tc>
      </w:tr>
      <w:tr w:rsidR="001A377E" w:rsidRPr="001A377E" w:rsidTr="001A377E">
        <w:trPr>
          <w:trHeight w:val="315"/>
        </w:trPr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The political party of the US President (X10)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77E" w:rsidRPr="001A377E" w:rsidRDefault="001A377E" w:rsidP="001A37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377E">
              <w:rPr>
                <w:rFonts w:ascii="Calibri" w:eastAsia="Times New Roman" w:hAnsi="Calibri" w:cs="Calibri"/>
                <w:color w:val="000000"/>
              </w:rPr>
              <w:t>-57.6445</w:t>
            </w:r>
          </w:p>
        </w:tc>
      </w:tr>
    </w:tbl>
    <w:p w:rsidR="001A377E" w:rsidRDefault="001A377E"/>
    <w:bookmarkEnd w:id="0"/>
    <w:p w:rsidR="008709E8" w:rsidRDefault="001A377E" w:rsidP="001A377E">
      <w:pPr>
        <w:ind w:firstLine="720"/>
      </w:pPr>
      <w:r>
        <w:t xml:space="preserve">The numbers in the coefficients, the number </w:t>
      </w:r>
      <w:r w:rsidRPr="00E467B1">
        <w:rPr>
          <w:u w:color="82C42A"/>
        </w:rPr>
        <w:t>are</w:t>
      </w:r>
      <w:r w:rsidRPr="00E467B1">
        <w:t xml:space="preserve"> </w:t>
      </w:r>
      <w:r>
        <w:t xml:space="preserve">really high and some have negative numbers. In the real world, all the number would be positive in the coefficients. As precision is simply variance, high </w:t>
      </w:r>
      <w:proofErr w:type="spellStart"/>
      <w:r w:rsidRPr="00E467B1">
        <w:rPr>
          <w:u w:color="82C42A"/>
        </w:rPr>
        <w:t>multicollinearity</w:t>
      </w:r>
      <w:proofErr w:type="spellEnd"/>
      <w:r w:rsidRPr="00E467B1">
        <w:t xml:space="preserve"> </w:t>
      </w:r>
      <w:r>
        <w:t>implies high slope estimator variance. This in turn implies low t-statistics, since the denominator of the standard t-statistic</w:t>
      </w:r>
      <w:r w:rsidRPr="00E467B1">
        <w:rPr>
          <w:u w:color="82C42A"/>
        </w:rPr>
        <w:t>(</w:t>
      </w:r>
      <w:r w:rsidRPr="00E467B1">
        <w:t>s</w:t>
      </w:r>
      <w:r>
        <w:t xml:space="preserve">ay H0: beta = 0, then t= beta hat / SE beta hat, where SE is the standard error of the estimator of the slope coefficient - which is reported in any computer output from </w:t>
      </w:r>
      <w:r>
        <w:lastRenderedPageBreak/>
        <w:t xml:space="preserve">a program which does regression). </w:t>
      </w:r>
      <w:r w:rsidR="00257E05">
        <w:t xml:space="preserve">These low t-statistics in turn may result in a failure to reject the null hypothesis that some particular slope coefficient is zero, in turn implies that the particular independent variable is not a useful explanatory variable. However, the variable may actually have a lot of explanatory power, and we may simply be fooled into </w:t>
      </w:r>
      <w:proofErr w:type="spellStart"/>
      <w:r w:rsidR="00257E05" w:rsidRPr="00E467B1">
        <w:rPr>
          <w:u w:color="82C42A"/>
        </w:rPr>
        <w:t>beleiving</w:t>
      </w:r>
      <w:proofErr w:type="spellEnd"/>
      <w:r w:rsidR="00257E05" w:rsidRPr="00E467B1">
        <w:t xml:space="preserve"> </w:t>
      </w:r>
      <w:r w:rsidR="00257E05">
        <w:t xml:space="preserve">the variable is irrelevant because we observe low t-statistics which are simply an artifact of the </w:t>
      </w:r>
      <w:proofErr w:type="spellStart"/>
      <w:r w:rsidR="00257E05" w:rsidRPr="00E467B1">
        <w:rPr>
          <w:u w:color="82C42A"/>
        </w:rPr>
        <w:t>multicollinearity</w:t>
      </w:r>
      <w:proofErr w:type="spellEnd"/>
      <w:r w:rsidR="00257E05" w:rsidRPr="00E467B1">
        <w:t xml:space="preserve"> </w:t>
      </w:r>
      <w:r w:rsidR="00257E05">
        <w:t xml:space="preserve">in our regression model. This problem is often signaled when our regression has a high R squared value, but very low slope coefficient t-statistics. </w:t>
      </w:r>
      <w:r w:rsidR="00257E05" w:rsidRPr="00E467B1">
        <w:rPr>
          <w:u w:color="82C42A"/>
        </w:rPr>
        <w:t>On</w:t>
      </w:r>
      <w:r w:rsidR="00257E05" w:rsidRPr="00E467B1">
        <w:t xml:space="preserve"> </w:t>
      </w:r>
      <w:r w:rsidR="00257E05">
        <w:t xml:space="preserve">simple remedy is to omit one of the variables that is highly </w:t>
      </w:r>
      <w:proofErr w:type="spellStart"/>
      <w:r w:rsidR="00257E05" w:rsidRPr="00E467B1">
        <w:rPr>
          <w:u w:color="82C42A"/>
        </w:rPr>
        <w:t>multicollinear</w:t>
      </w:r>
      <w:proofErr w:type="spellEnd"/>
      <w:r w:rsidR="00257E05" w:rsidRPr="00E467B1">
        <w:t>,</w:t>
      </w:r>
      <w:r w:rsidR="00257E05">
        <w:t xml:space="preserve"> as the informational content of this variable is essentially the same as that of </w:t>
      </w:r>
      <w:r w:rsidR="00257E05" w:rsidRPr="00E467B1">
        <w:rPr>
          <w:u w:color="82C42A"/>
        </w:rPr>
        <w:t>other</w:t>
      </w:r>
      <w:r w:rsidR="00257E05" w:rsidRPr="00E467B1">
        <w:t xml:space="preserve"> </w:t>
      </w:r>
      <w:r w:rsidR="00257E05">
        <w:t xml:space="preserve">variable(s), </w:t>
      </w:r>
      <w:r w:rsidR="00257E05" w:rsidRPr="00E467B1">
        <w:rPr>
          <w:u w:color="82C42A"/>
        </w:rPr>
        <w:t>anyways</w:t>
      </w:r>
      <w:r w:rsidR="00257E05" w:rsidRPr="00E467B1">
        <w:t>.</w:t>
      </w:r>
      <w:r w:rsidR="00257E05">
        <w:t xml:space="preserve"> Another common solution is to difference of log difference the data. This often removes much of the </w:t>
      </w:r>
      <w:proofErr w:type="spellStart"/>
      <w:r w:rsidR="00257E05" w:rsidRPr="00E467B1">
        <w:rPr>
          <w:u w:color="82C42A"/>
        </w:rPr>
        <w:t>multicollinearity</w:t>
      </w:r>
      <w:proofErr w:type="spellEnd"/>
      <w:r w:rsidR="00257E05" w:rsidRPr="00E467B1">
        <w:t xml:space="preserve"> </w:t>
      </w:r>
      <w:r w:rsidR="00257E05">
        <w:t xml:space="preserve">among </w:t>
      </w:r>
      <w:proofErr w:type="spellStart"/>
      <w:r w:rsidR="00257E05" w:rsidRPr="00E467B1">
        <w:rPr>
          <w:u w:color="82C42A"/>
        </w:rPr>
        <w:t>regressors</w:t>
      </w:r>
      <w:proofErr w:type="spellEnd"/>
      <w:r w:rsidR="00257E05" w:rsidRPr="00E467B1">
        <w:t>,</w:t>
      </w:r>
      <w:r w:rsidR="00257E05">
        <w:t xml:space="preserve"> particularly since the </w:t>
      </w:r>
      <w:proofErr w:type="spellStart"/>
      <w:r w:rsidR="00257E05" w:rsidRPr="00E467B1">
        <w:rPr>
          <w:u w:color="82C42A"/>
        </w:rPr>
        <w:t>multicollinearity</w:t>
      </w:r>
      <w:proofErr w:type="spellEnd"/>
      <w:r w:rsidR="00257E05" w:rsidRPr="00E467B1">
        <w:t xml:space="preserve"> </w:t>
      </w:r>
      <w:r w:rsidR="00257E05">
        <w:t xml:space="preserve">may have arisen because the </w:t>
      </w:r>
      <w:proofErr w:type="spellStart"/>
      <w:r w:rsidR="00257E05" w:rsidRPr="00E467B1">
        <w:rPr>
          <w:u w:color="82C42A"/>
        </w:rPr>
        <w:t>regressors</w:t>
      </w:r>
      <w:proofErr w:type="spellEnd"/>
      <w:r w:rsidR="00257E05" w:rsidRPr="00E467B1">
        <w:t xml:space="preserve"> </w:t>
      </w:r>
      <w:r w:rsidR="00257E05">
        <w:t xml:space="preserve">were all trending upwards over time, say, which is then the same problem as discussed in the previous note on </w:t>
      </w:r>
      <w:proofErr w:type="spellStart"/>
      <w:r w:rsidR="00257E05" w:rsidRPr="00E467B1">
        <w:rPr>
          <w:u w:color="82C42A"/>
        </w:rPr>
        <w:t>nonstationarity</w:t>
      </w:r>
      <w:proofErr w:type="spellEnd"/>
      <w:r w:rsidR="00257E05" w:rsidRPr="00E467B1">
        <w:t>.</w:t>
      </w:r>
      <w:r w:rsidR="00257E05">
        <w:t xml:space="preserve"> </w:t>
      </w:r>
      <w:r>
        <w:t xml:space="preserve"> </w:t>
      </w:r>
      <w:r w:rsidR="00512D37">
        <w:t xml:space="preserve">  </w:t>
      </w:r>
    </w:p>
    <w:p w:rsidR="001F6540" w:rsidRDefault="001F6540" w:rsidP="001A377E">
      <w:pPr>
        <w:ind w:firstLine="720"/>
      </w:pPr>
      <w:r>
        <w:t xml:space="preserve">The more common situation of high </w:t>
      </w:r>
      <w:proofErr w:type="spellStart"/>
      <w:r>
        <w:t>multicollinearity</w:t>
      </w:r>
      <w:proofErr w:type="spellEnd"/>
      <w:r>
        <w:t xml:space="preserve"> leads to large variances and </w:t>
      </w:r>
      <w:proofErr w:type="spellStart"/>
      <w:r>
        <w:t>covariances</w:t>
      </w:r>
      <w:proofErr w:type="spellEnd"/>
      <w:r>
        <w:t>, large confidence intervals, and insignificant significance coefficients</w:t>
      </w:r>
    </w:p>
    <w:sectPr w:rsidR="001F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37"/>
    <w:rsid w:val="00051FD6"/>
    <w:rsid w:val="001547E2"/>
    <w:rsid w:val="001A377E"/>
    <w:rsid w:val="001F6540"/>
    <w:rsid w:val="00257E05"/>
    <w:rsid w:val="00512D37"/>
    <w:rsid w:val="00560BE8"/>
    <w:rsid w:val="00866B25"/>
    <w:rsid w:val="008C5EFD"/>
    <w:rsid w:val="008F75E5"/>
    <w:rsid w:val="00B452EF"/>
    <w:rsid w:val="00C639DD"/>
    <w:rsid w:val="00E467B1"/>
    <w:rsid w:val="00F0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CD5F0-1B00-4D71-8E00-28DA1ACF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LastAncientOne</dc:creator>
  <cp:lastModifiedBy>block</cp:lastModifiedBy>
  <cp:revision>7</cp:revision>
  <dcterms:created xsi:type="dcterms:W3CDTF">2012-04-18T23:49:00Z</dcterms:created>
  <dcterms:modified xsi:type="dcterms:W3CDTF">2012-04-20T05:51:00Z</dcterms:modified>
</cp:coreProperties>
</file>