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8/21/23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 Data Science Lifecycle: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55787" cy="29404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787" cy="294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 Fundamentals: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sets are collections of data: </w:t>
      </w:r>
      <w:r w:rsidDel="00000000" w:rsidR="00000000" w:rsidRPr="00000000">
        <w:rPr>
          <w:color w:val="990000"/>
          <w:highlight w:val="cyan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green"/>
          <w:rtl w:val="0"/>
        </w:rPr>
        <w:t xml:space="preserve">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00"/>
          <w:highlight w:val="cyan"/>
          <w:rtl w:val="0"/>
        </w:rPr>
        <w:t xml:space="preserve">Tuple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Set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07">
      <w:pPr>
        <w:rPr>
          <w:color w:val="990000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Ordered, Changeable </w:t>
      </w:r>
      <w:r w:rsidDel="00000000" w:rsidR="00000000" w:rsidRPr="00000000">
        <w:rPr>
          <w:color w:val="990000"/>
          <w:highlight w:val="green"/>
          <w:rtl w:val="0"/>
        </w:rPr>
        <w:t xml:space="preserve">duplicates allowed</w:t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Unordered, unchangeable, duplicates not allowed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Representing Datasets with code: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Column-oriented: Grouping by 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Row-Oriented: Grouping by a single observation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Indexing: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912367" cy="1014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367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Access values = indexing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Iteration: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can repeat processes with looks or recursion in python. Ex: While loop, For loop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3255548" cy="183917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5548" cy="1839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