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Scenariusz obsługi klienta</w:t>
      </w:r>
    </w:p>
    <w:p>
      <w:pPr>
        <w:spacing w:after="300"/>
      </w:pPr>
      <w:r>
        <w:rPr>
          <w:color w:val="6B7280"/>
          <w:sz w:val="26"/>
          <w:szCs w:val="26"/>
        </w:rPr>
        <w:t xml:space="preserve">Brak części w magazynie — przebieg i czasy reakcji</w:t>
      </w:r>
    </w:p>
    <w:p>
      <w:pPr>
        <w:pStyle w:val="Heading2"/>
        <w:spacing w:after="120" w:before="240"/>
      </w:pPr>
      <w:r>
        <w:t xml:space="preserve">Diagram przepływu</w:t>
      </w:r>
    </w:p>
    <w:p>
      <w:pPr>
        <w:spacing w:after="300"/>
      </w:pPr>
      <w:r>
        <w:drawing>
          <wp:inline distT="0" distB="0" distL="0" distR="0">
            <wp:extent cx="5334000" cy="434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Krok 1 – status w aplikacji (bez maila)</w:t>
      </w:r>
    </w:p>
    <w:p>
      <w:pPr>
        <w:spacing w:after="120"/>
      </w:pPr>
      <w:r>
        <w:t xml:space="preserve">Klient widzi to od razu na ekranie, po kliknięciu „Dalej” — nie wysyłamy osobnego maila ani SMS-a na tym etapie, bo nic konkretnego jeszcze nie wiemy:</w:t>
      </w:r>
    </w:p>
    <w:p>
      <w:pPr>
        <w:spacing w:after="200"/>
      </w:pPr>
      <w:r>
        <w:rPr>
          <w:i/>
          <w:iCs/>
        </w:rPr>
        <w:t xml:space="preserve">Sprawdzamy to dla Ciebie. Damy znać do 2h roboczych (pon–pt 8–18) z konkretną odpowiedzią.</w:t>
      </w:r>
    </w:p>
    <w:p>
      <w:pPr>
        <w:pStyle w:val="Heading1"/>
        <w:spacing w:after="150" w:before="300"/>
      </w:pPr>
      <w:r>
        <w:t xml:space="preserve">Krok 2 – jedyna, konkretna wiadomość</w:t>
      </w:r>
    </w:p>
    <w:p>
      <w:pPr>
        <w:spacing w:after="180"/>
      </w:pPr>
      <w:r>
        <w:rPr>
          <w:b/>
          <w:bCs/>
          <w:color w:val="B45309"/>
        </w:rPr>
        <w:t xml:space="preserve">SLA: 2h robocze, docelowo 30–60 min</w:t>
      </w:r>
    </w:p>
    <w:p>
      <w:pPr>
        <w:spacing w:after="120"/>
      </w:pPr>
      <w:r>
        <w:t xml:space="preserve">To jedyny mail/SMS, jaki klient dostaje na tym etapie — od razu z pełną informacją i opcjami do wyboru.</w:t>
      </w:r>
    </w:p>
    <w:p>
      <w:pPr>
        <w:pStyle w:val="Heading2"/>
        <w:spacing w:after="120" w:before="240"/>
      </w:pPr>
      <w:r>
        <w:t xml:space="preserve">Wariant A — jest zamiennik</w:t>
      </w:r>
    </w:p>
    <w:p>
      <w:pPr>
        <w:spacing w:after="20"/>
      </w:pPr>
      <w:r>
        <w:rPr>
          <w:i/>
          <w:iCs/>
        </w:rPr>
        <w:t xml:space="preserve">Cześć [imię],</w:t>
      </w:r>
    </w:p>
    <w:p>
      <w:pPr>
        <w:spacing w:after="160"/>
      </w:pPr>
      <w:r>
        <w:rPr>
          <w:i/>
          <w:iCs/>
        </w:rPr>
        <w:t xml:space="preserve">sprawdziliśmy [nazwa] do [producent] [model] — tej konkretnej części akurat nie mamy, ale przejrzeliśmy 3 dostawców i bazę zamienników, więc mamy dla Ciebie kilka opcji: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Zamiennik, który pasuje 1:1 do Twojego urządzenia [nazwa + różnica cenowa, jeśli jest].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Zamówienie u dostawcy zewnętrznego — ok. [X dni roboczych].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Wolisz pogadać? Oddzwonimy i pomożemy dobrać rozwiązanie.</w:t>
      </w:r>
    </w:p>
    <w:p>
      <w:pPr>
        <w:spacing w:after="20" w:before="100"/>
      </w:pPr>
      <w:r>
        <w:rPr>
          <w:i/>
          <w:iCs/>
        </w:rPr>
        <w:t xml:space="preserve">Napisz, co wybierasz, a resztą zajmiemy się my.</w:t>
      </w:r>
    </w:p>
    <w:p>
      <w:pPr>
        <w:spacing w:after="200"/>
      </w:pPr>
      <w:r>
        <w:rPr>
          <w:i/>
          <w:iCs/>
        </w:rPr>
        <w:t xml:space="preserve">[Imię], [firma]</w:t>
      </w:r>
    </w:p>
    <w:p>
      <w:pPr>
        <w:pStyle w:val="Heading2"/>
        <w:spacing w:after="120" w:before="240"/>
      </w:pPr>
      <w:r>
        <w:t xml:space="preserve">Wariant B — nie ma ani części, ani zamiennika</w:t>
      </w:r>
    </w:p>
    <w:p>
      <w:pPr>
        <w:spacing w:after="20"/>
      </w:pPr>
      <w:r>
        <w:rPr>
          <w:i/>
          <w:iCs/>
        </w:rPr>
        <w:t xml:space="preserve">Cześć [imię],</w:t>
      </w:r>
    </w:p>
    <w:p>
      <w:pPr>
        <w:spacing w:after="160"/>
      </w:pPr>
      <w:r>
        <w:rPr>
          <w:i/>
          <w:iCs/>
        </w:rPr>
        <w:t xml:space="preserve">sprawdziliśmy wszystko, co mogliśmy — 3 dostawców i bazę zamienników — i [nazwa] do [producent] [model] po prostu teraz nigdzie nie ma. Nie zostawiamy Cię z tym samego: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Zgłaszamy Cię na listę alarmową — odezwiemy się, jak tylko część się pojawi (zwykle [X dni/tygodni]).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Możemy sprawdzić inne rozwiązanie — np. część z demontażu albo inny pasujący producent. Oddzwoni nasz specjalista.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Jeśli naprawa przestaje się opłacać, pomożemy dobrać nowy sprzęt.</w:t>
      </w:r>
    </w:p>
    <w:p>
      <w:pPr>
        <w:spacing w:after="200"/>
      </w:pPr>
      <w:r>
        <w:rPr>
          <w:i/>
          <w:iCs/>
        </w:rPr>
        <w:t xml:space="preserve">[Imię], [firma]</w:t>
      </w:r>
    </w:p>
    <w:p>
      <w:pPr>
        <w:pStyle w:val="Heading1"/>
        <w:spacing w:after="150" w:before="300"/>
      </w:pPr>
      <w:r>
        <w:t xml:space="preserve">Krok 3 – tylko gdy jest nowość</w:t>
      </w:r>
    </w:p>
    <w:p>
      <w:pPr>
        <w:spacing w:after="120"/>
      </w:pPr>
      <w:r>
        <w:t xml:space="preserve">Koniec ze sztywnym harmonogramem (24h / co 7 dni). Piszemy do klienta wyłącznie wtedy, gdy naprawdę coś się zmieniło: część się znalazła, dostawca podał nowy termin, albo klient długo nie odpowiada.</w:t>
      </w:r>
    </w:p>
    <w:p>
      <w:pPr>
        <w:spacing w:after="120"/>
      </w:pPr>
      <w:r>
        <w:rPr>
          <w:i/>
          <w:iCs/>
        </w:rPr>
        <w:t xml:space="preserve">Hej, wciąż pilnujemy Twojej sprawy. Jak któraś opcja Ci pasuje, daj znać — albo zadzwoń, chętnie pomożemy: [numer].</w:t>
      </w:r>
    </w:p>
    <w:p>
      <w:pPr>
        <w:spacing w:after="180"/>
      </w:pPr>
      <w:r>
        <w:rPr>
          <w:b/>
          <w:bCs/>
          <w:color w:val="B45309"/>
        </w:rPr>
        <w:t xml:space="preserve">SLA: event-driven — bez cyklicznych przypomnień o niczym</w:t>
      </w:r>
    </w:p>
    <w:p>
      <w:pPr>
        <w:pStyle w:val="Heading1"/>
        <w:spacing w:after="150" w:before="300"/>
      </w:pPr>
      <w:r>
        <w:t xml:space="preserve">Dlaczego tak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Mniej wiadomości — piszemy tylko wtedy, gdy mamy coś konkretnego do przekazania, żeby klient nie czuł się zasypywany.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Ludzki, luźniejszy język zamiast sztywnego skryptu — krótsze zdania, brzmi jak wiadomość od człowieka, nie od systemu.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Ton pokazuje wysiłek („sprawdziliśmy u 3 dostawców”) zamiast suchego „brak na stanie” — to buduje poczucie opieki.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Zawsze konkretne opcje, nigdy sama odmowa — klient nie zostaje z niczym.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Podpis z imienia — personalizacja, nie „system”.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d9b30c4ccb240cc44eb3727da6b66e651c6b2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2026-07-16T11:53:05.623Z</dcterms:created>
  <dcterms:modified xsi:type="dcterms:W3CDTF">2026-07-16T11:53:05.629Z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