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rFonts w:ascii="Georgia" w:hAnsi="Georgia"/>
          <w:b/>
          <w:color w:val="8C3B2E"/>
          <w:sz w:val="22"/>
        </w:rPr>
        <w:t>PHISHGUARD</w:t>
      </w:r>
    </w:p>
    <w:p>
      <w:r>
        <w:rPr>
          <w:rFonts w:ascii="Georgia" w:hAnsi="Georgia"/>
          <w:b/>
          <w:color w:val="1D2A24"/>
          <w:sz w:val="68"/>
        </w:rPr>
        <w:t>PhishGuard</w:t>
      </w:r>
    </w:p>
    <w:p>
      <w:r>
        <w:rPr>
          <w:rFonts w:ascii="Georgia" w:hAnsi="Georgia"/>
          <w:color w:val="1D2A24"/>
          <w:sz w:val="30"/>
        </w:rPr>
        <w:t>An AI-Based Phishing Awareness and Message Analysis Tool</w:t>
      </w:r>
    </w:p>
    <w:p>
      <w:pPr>
        <w:pBdr>
          <w:bottom w:val="single" w:sz="8" w:space="4" w:color="8C3B2E"/>
        </w:pBdr>
        <w:spacing w:before="160" w:after="360"/>
      </w:pPr>
    </w:p>
    <w:p>
      <w:r>
        <w:rPr>
          <w:rFonts w:ascii="Times New Roman" w:hAnsi="Times New Roman"/>
          <w:b/>
          <w:color w:val="1D2A24"/>
          <w:sz w:val="24"/>
        </w:rPr>
        <w:t>Final Project Report</w:t>
      </w:r>
    </w:p>
    <w:p>
      <w:r>
        <w:rPr>
          <w:rFonts w:ascii="Times New Roman" w:hAnsi="Times New Roman"/>
          <w:color w:val="1D2A24"/>
          <w:sz w:val="23"/>
        </w:rPr>
        <w:t>Question 5 — Phishing Message Detection</w:t>
      </w:r>
    </w:p>
    <w:p/>
    <w:p/>
    <w:p/>
    <w:p/>
    <w:p/>
    <w:p/>
    <w:p/>
    <w:p>
      <w:r>
        <w:rPr>
          <w:rFonts w:ascii="Times New Roman" w:hAnsi="Times New Roman"/>
          <w:sz w:val="22"/>
        </w:rPr>
        <w:t>Prepared by: PhishGuard Project Team</w:t>
      </w:r>
    </w:p>
    <w:p>
      <w:r>
        <w:rPr>
          <w:rFonts w:ascii="Times New Roman" w:hAnsi="Times New Roman"/>
          <w:sz w:val="22"/>
        </w:rPr>
        <w:t>October 2026</w:t>
      </w:r>
    </w:p>
    <w:p>
      <w:r>
        <w:rPr>
          <w:rFonts w:ascii="Times New Roman" w:hAnsi="Times New Roman"/>
          <w:i/>
          <w:color w:val="4E5D55"/>
          <w:sz w:val="19"/>
        </w:rPr>
        <w:t>Prototype, dataset, and evaluation report</w:t>
      </w:r>
    </w:p>
    <w:p>
      <w:r>
        <w:br w:type="page"/>
      </w:r>
    </w:p>
    <w:p>
      <w:pPr>
        <w:pStyle w:val="Heading1"/>
      </w:pPr>
      <w:r>
        <w:t>Abstract</w:t>
      </w:r>
    </w:p>
    <w:p>
      <w:pPr>
        <w:spacing w:after="120"/>
        <w:jc w:val="both"/>
      </w:pPr>
      <w:r>
        <w:rPr>
          <w:rFonts w:ascii="Times New Roman" w:hAnsi="Times New Roman"/>
          <w:i w:val="0"/>
          <w:sz w:val="22"/>
        </w:rPr>
        <w:t>Phishing remains one of the most common ways in which student accounts are compromised. This report documents PhishGuard, a text-analysis prototype built for the Question 5 scenario in which students receive messages claiming that their VIT account will be suspended unless they click a link immediately. The prototype analyses message text and an optional sender field, identifies urgency, credential requests, suspicious link structure, and sender mismatch, and returns a risk label with a ranked, plain-language explanation. Submitted links are treated as text only: they are never fetched, resolved, or previewed.</w:t>
      </w:r>
    </w:p>
    <w:p>
      <w:pPr>
        <w:spacing w:after="120"/>
        <w:jc w:val="both"/>
      </w:pPr>
      <w:r>
        <w:rPr>
          <w:rFonts w:ascii="Times New Roman" w:hAnsi="Times New Roman"/>
          <w:i w:val="0"/>
          <w:sz w:val="22"/>
        </w:rPr>
        <w:t>The system was trained on a 1,290-row pilot dataset assembled from the Nazario Phishing Corpus (500 real phishing emails, CC-BY-4.0), the SpamAssassin public mail corpus (550 real legitimate and hard-negative emails), and a constructed VIT corpus of 240 messages. A leakage-resistant split was created with per-source grouped stratification and near-duplicate clustering, producing 886 training, 162 validation, and 242 frozen test rows. The core model is a word and character n-gram TF-IDF representation with logistic regression; a multinomial Naive Bayes model provides the baseline.</w:t>
      </w:r>
    </w:p>
    <w:p>
      <w:pPr>
        <w:spacing w:after="120"/>
        <w:jc w:val="both"/>
      </w:pPr>
      <w:r>
        <w:rPr>
          <w:rFonts w:ascii="Times New Roman" w:hAnsi="Times New Roman"/>
          <w:i w:val="0"/>
          <w:sz w:val="22"/>
        </w:rPr>
        <w:t>On the frozen test set, the core model achieved 95.45% accuracy, 95.35% precision, 92.13% recall, a 93.71% F1-score, and a 2.61% false-positive rate. The baseline achieved 92.98% accuracy, 86.73% precision, 95.51% recall, a 90.91% F1-score, and an 8.50% false-positive rate. The core model therefore improves precision, F1, and the false-positive rate, while the baseline retains higher recall. On the constructed VIT test rows specifically, the final decision layer produced zero High Risk false positives, two Suspicious false positives, and one Uncertain routing out of eighteen legitimate messages, with no missed phishing; because the credential rule was refined after inspecting these rows, this is a development result for the rule layer rather than a fully untouched estimate. The broader rule layer remains conservative on general legitimate mail, a limitation discussed in this report.</w:t>
      </w:r>
    </w:p>
    <w:p>
      <w:pPr>
        <w:spacing w:after="120"/>
        <w:jc w:val="both"/>
      </w:pPr>
      <w:r>
        <w:rPr>
          <w:rFonts w:ascii="Times New Roman" w:hAnsi="Times New Roman"/>
          <w:i w:val="0"/>
          <w:sz w:val="22"/>
        </w:rPr>
        <w:t>The report also documents the dataset selection rationale, the rejection of an earlier 126-row dataset whose label could be predicted perfectly from the presence of a URL, the preprocessing and training pipeline, the evaluation methodology, the interface, and the safety and privacy properties of the prototype.</w:t>
      </w:r>
    </w:p>
    <w:p>
      <w:pPr>
        <w:spacing w:before="120"/>
      </w:pPr>
      <w:r>
        <w:rPr>
          <w:b/>
          <w:sz w:val="20"/>
        </w:rPr>
        <w:t xml:space="preserve">Keywords: </w:t>
      </w:r>
      <w:r>
        <w:rPr>
          <w:i/>
          <w:color w:val="4E5D55"/>
          <w:sz w:val="20"/>
        </w:rPr>
        <w:t>phishing detection; TF-IDF; logistic regression; explainable AI; dataset leakage; student safety.</w:t>
      </w:r>
    </w:p>
    <w:p>
      <w:pPr>
        <w:pStyle w:val="Heading1"/>
      </w:pPr>
      <w:r>
        <w:t>Contents</w:t>
      </w:r>
    </w:p>
    <w:p>
      <w:pPr>
        <w:spacing w:after="60"/>
      </w:pPr>
      <w:r>
        <w:rPr>
          <w:rFonts w:ascii="Times New Roman" w:hAnsi="Times New Roman"/>
          <w:sz w:val="21"/>
        </w:rPr>
        <w:t>1. Introduction</w:t>
      </w:r>
    </w:p>
    <w:p>
      <w:pPr>
        <w:spacing w:after="60"/>
      </w:pPr>
      <w:r>
        <w:rPr>
          <w:rFonts w:ascii="Times New Roman" w:hAnsi="Times New Roman"/>
          <w:sz w:val="21"/>
        </w:rPr>
        <w:t>2. Problem Statement and Objectives</w:t>
      </w:r>
    </w:p>
    <w:p>
      <w:pPr>
        <w:spacing w:after="60"/>
      </w:pPr>
      <w:r>
        <w:rPr>
          <w:rFonts w:ascii="Times New Roman" w:hAnsi="Times New Roman"/>
          <w:sz w:val="21"/>
        </w:rPr>
        <w:t>3. Dataset Selection and Construction</w:t>
      </w:r>
    </w:p>
    <w:p>
      <w:pPr>
        <w:spacing w:after="60"/>
      </w:pPr>
      <w:r>
        <w:rPr>
          <w:rFonts w:ascii="Times New Roman" w:hAnsi="Times New Roman"/>
          <w:sz w:val="21"/>
        </w:rPr>
        <w:t>4. Preprocessing and Feature Engineering</w:t>
      </w:r>
    </w:p>
    <w:p>
      <w:pPr>
        <w:spacing w:after="60"/>
      </w:pPr>
      <w:r>
        <w:rPr>
          <w:rFonts w:ascii="Times New Roman" w:hAnsi="Times New Roman"/>
          <w:sz w:val="21"/>
        </w:rPr>
        <w:t>5. Model Development and Training</w:t>
      </w:r>
    </w:p>
    <w:p>
      <w:pPr>
        <w:spacing w:after="60"/>
      </w:pPr>
      <w:r>
        <w:rPr>
          <w:rFonts w:ascii="Times New Roman" w:hAnsi="Times New Roman"/>
          <w:sz w:val="21"/>
        </w:rPr>
        <w:t>6. Evaluation Methodology</w:t>
      </w:r>
    </w:p>
    <w:p>
      <w:pPr>
        <w:spacing w:after="60"/>
      </w:pPr>
      <w:r>
        <w:rPr>
          <w:rFonts w:ascii="Times New Roman" w:hAnsi="Times New Roman"/>
          <w:sz w:val="21"/>
        </w:rPr>
        <w:t>7. Results</w:t>
      </w:r>
    </w:p>
    <w:p>
      <w:pPr>
        <w:spacing w:after="60"/>
      </w:pPr>
      <w:r>
        <w:rPr>
          <w:rFonts w:ascii="Times New Roman" w:hAnsi="Times New Roman"/>
          <w:sz w:val="21"/>
        </w:rPr>
        <w:t>8. System Interface</w:t>
      </w:r>
    </w:p>
    <w:p>
      <w:pPr>
        <w:spacing w:after="60"/>
      </w:pPr>
      <w:r>
        <w:rPr>
          <w:rFonts w:ascii="Times New Roman" w:hAnsi="Times New Roman"/>
          <w:sz w:val="21"/>
        </w:rPr>
        <w:t>9. Discussion</w:t>
      </w:r>
    </w:p>
    <w:p>
      <w:pPr>
        <w:spacing w:after="60"/>
      </w:pPr>
      <w:r>
        <w:rPr>
          <w:rFonts w:ascii="Times New Roman" w:hAnsi="Times New Roman"/>
          <w:sz w:val="21"/>
        </w:rPr>
        <w:t>10. Safety, Privacy, and Responsible Use</w:t>
      </w:r>
    </w:p>
    <w:p>
      <w:pPr>
        <w:spacing w:after="60"/>
      </w:pPr>
      <w:r>
        <w:rPr>
          <w:rFonts w:ascii="Times New Roman" w:hAnsi="Times New Roman"/>
          <w:sz w:val="21"/>
        </w:rPr>
        <w:t>11. Limitations and Future Work</w:t>
      </w:r>
    </w:p>
    <w:p>
      <w:pPr>
        <w:spacing w:after="60"/>
      </w:pPr>
      <w:r>
        <w:rPr>
          <w:rFonts w:ascii="Times New Roman" w:hAnsi="Times New Roman"/>
          <w:sz w:val="21"/>
        </w:rPr>
        <w:t>12. Conclusion</w:t>
      </w:r>
    </w:p>
    <w:p>
      <w:pPr>
        <w:spacing w:after="60"/>
      </w:pPr>
      <w:r>
        <w:rPr>
          <w:rFonts w:ascii="Times New Roman" w:hAnsi="Times New Roman"/>
          <w:sz w:val="21"/>
        </w:rPr>
        <w:t>Appendix A. Dataset Schema</w:t>
      </w:r>
    </w:p>
    <w:p>
      <w:pPr>
        <w:spacing w:after="60"/>
      </w:pPr>
      <w:r>
        <w:rPr>
          <w:rFonts w:ascii="Times New Roman" w:hAnsi="Times New Roman"/>
          <w:sz w:val="21"/>
        </w:rPr>
        <w:t>Appendix B. Reproduction Commands</w:t>
      </w:r>
    </w:p>
    <w:p>
      <w:pPr>
        <w:spacing w:after="60"/>
      </w:pPr>
      <w:r>
        <w:rPr>
          <w:rFonts w:ascii="Times New Roman" w:hAnsi="Times New Roman"/>
          <w:sz w:val="21"/>
        </w:rPr>
        <w:t>References</w:t>
      </w:r>
    </w:p>
    <w:p>
      <w:r>
        <w:br w:type="page"/>
      </w:r>
    </w:p>
    <w:p>
      <w:pPr>
        <w:pStyle w:val="Heading1"/>
      </w:pPr>
      <w:r>
        <w:t>1. Introduction</w:t>
      </w:r>
    </w:p>
    <w:p>
      <w:pPr>
        <w:pStyle w:val="Heading2"/>
      </w:pPr>
      <w:r>
        <w:t>1.1 Context and motivation</w:t>
      </w:r>
    </w:p>
    <w:p>
      <w:pPr>
        <w:spacing w:after="120"/>
        <w:jc w:val="both"/>
      </w:pPr>
      <w:r>
        <w:rPr>
          <w:rFonts w:ascii="Times New Roman" w:hAnsi="Times New Roman"/>
          <w:i w:val="0"/>
          <w:sz w:val="22"/>
        </w:rPr>
        <w:t>On 16 October 2026, students reported emails and messages claiming that their VIT accounts would be suspended unless they clicked a link and verified their credentials. The messages combined three pressure points that are characteristic of phishing: an urgent deadline, an appeal to institutional authority, and a link whose visible text suggests one destination while the underlying address suggests another. A student who acts quickly can disclose a password or one-time code before noticing the mismatch.</w:t>
      </w:r>
    </w:p>
    <w:p>
      <w:pPr>
        <w:spacing w:after="120"/>
        <w:jc w:val="both"/>
      </w:pPr>
      <w:r>
        <w:rPr>
          <w:rFonts w:ascii="Times New Roman" w:hAnsi="Times New Roman"/>
          <w:i w:val="0"/>
          <w:sz w:val="22"/>
        </w:rPr>
        <w:t>Conventional spam filters return a binary decision without showing the evidence. That is useful for filtering, but it is a poor teaching tool: it does not help a student recognise the next message. PhishGuard was designed as an awareness aid rather than an enforcement system. It slows the user down, shows the evidence in the message, and gives a concrete next step. It is deliberately not an automatic blocker and it does not open links.</w:t>
      </w:r>
    </w:p>
    <w:p>
      <w:pPr>
        <w:pStyle w:val="Heading2"/>
      </w:pPr>
      <w:r>
        <w:t>1.2 The prototype</w:t>
      </w:r>
    </w:p>
    <w:p>
      <w:pPr>
        <w:spacing w:after="120"/>
        <w:jc w:val="both"/>
      </w:pPr>
      <w:r>
        <w:rPr>
          <w:rFonts w:ascii="Times New Roman" w:hAnsi="Times New Roman"/>
          <w:i w:val="0"/>
          <w:sz w:val="22"/>
        </w:rPr>
        <w:t>The prototype is a FastAPI web application with a single-page interface. A user pastes a message and, optionally, the sender address. The backend normalises the text, runs a TF-IDF logistic-regression classifier, applies four rule-based signal detectors, combines the model probability and the rules into a risk index, and returns a label (Low risk, Suspicious, High risk, or Uncertain), ranked explanations, defanged links, and safe reporting advice. The interface displays the submitted message with trigger phrases highlighted and every URL defanged.</w:t>
      </w:r>
    </w:p>
    <w:p>
      <w:pPr>
        <w:pStyle w:val="Heading2"/>
      </w:pPr>
      <w:r>
        <w:t>1.3 Scope and constraints</w:t>
      </w:r>
    </w:p>
    <w:p>
      <w:pPr>
        <w:pStyle w:val="ListBullet"/>
        <w:spacing w:after="60"/>
      </w:pPr>
      <w:r>
        <w:t>The pilot supports English-language email, SMS, and chat text.</w:t>
      </w:r>
    </w:p>
    <w:p>
      <w:pPr>
        <w:pStyle w:val="ListBullet"/>
        <w:spacing w:after="60"/>
      </w:pPr>
      <w:r>
        <w:t>The sender field is optional; when it is absent, the system reports that the sender was not provided rather than guessing.</w:t>
      </w:r>
    </w:p>
    <w:p>
      <w:pPr>
        <w:pStyle w:val="ListBullet"/>
        <w:spacing w:after="60"/>
      </w:pPr>
      <w:r>
        <w:t>No submitted link is fetched, resolved, previewed, or passed to a reputation service.</w:t>
      </w:r>
    </w:p>
    <w:p>
      <w:pPr>
        <w:pStyle w:val="ListBullet"/>
        <w:spacing w:after="60"/>
      </w:pPr>
      <w:r>
        <w:t>No message is reported, blocked, or deleted automatically; the user remains in control.</w:t>
      </w:r>
    </w:p>
    <w:p>
      <w:pPr>
        <w:pStyle w:val="ListBullet"/>
        <w:spacing w:after="60"/>
      </w:pPr>
      <w:r>
        <w:t>The prototype is an awareness aid. It can be wrong and it is not a substitute for official IT or law-enforcement advice.</w:t>
      </w:r>
    </w:p>
    <w:p>
      <w:pPr>
        <w:spacing w:after="120"/>
        <w:jc w:val="both"/>
      </w:pPr>
      <w:r>
        <w:rPr>
          <w:rFonts w:ascii="Times New Roman" w:hAnsi="Times New Roman"/>
          <w:i w:val="0"/>
          <w:sz w:val="22"/>
        </w:rPr>
        <w:t>Stage 2 features such as raw header authentication, multilingual support, OCR/QR analysis, a Bayesian network, and an HMM fusion layer are outside the scope of this report. They are listed in Section 11 as future work.</w:t>
      </w:r>
    </w:p>
    <w:p>
      <w:pPr>
        <w:pStyle w:val="Heading2"/>
      </w:pPr>
      <w:r>
        <w:t>1.4 Report structure</w:t>
      </w:r>
    </w:p>
    <w:p>
      <w:pPr>
        <w:spacing w:after="120"/>
        <w:jc w:val="both"/>
      </w:pPr>
      <w:r>
        <w:rPr>
          <w:rFonts w:ascii="Times New Roman" w:hAnsi="Times New Roman"/>
          <w:i w:val="0"/>
          <w:sz w:val="22"/>
        </w:rPr>
        <w:t>Section 2 states the problem and objectives. Section 3 explains how the dataset was selected, constructed, cleaned, and split. Sections 4 and 5 describe preprocessing and training. Section 6 defines the evaluation methodology, and Section 7 reports the results, including accuracy, precision, recall, F1, the false-positive rate, and both confusion matrices. Section 8 presents the interface with screenshots. Sections 9 to 12 discuss the findings, safety, limitations, and conclusions. The appendices record the schema and reproduction commands.</w:t>
      </w:r>
    </w:p>
    <w:p>
      <w:r>
        <w:br w:type="page"/>
      </w:r>
    </w:p>
    <w:p>
      <w:pPr>
        <w:pStyle w:val="Heading1"/>
      </w:pPr>
      <w:r>
        <w:t>2. Problem Statement and Objectives</w:t>
      </w:r>
    </w:p>
    <w:p>
      <w:pPr>
        <w:pStyle w:val="Heading2"/>
      </w:pPr>
      <w:r>
        <w:t>2.1 Problem statement</w:t>
      </w:r>
    </w:p>
    <w:p>
      <w:pPr>
        <w:spacing w:after="120"/>
        <w:jc w:val="both"/>
      </w:pPr>
      <w:r>
        <w:rPr>
          <w:rFonts w:ascii="Times New Roman" w:hAnsi="Times New Roman"/>
          <w:i w:val="0"/>
          <w:sz w:val="22"/>
        </w:rPr>
        <w:t>The task is not only to classify a message as phishing or legitimate. A useful awareness tool must also explain why a message is suspicious, tolerate missing metadata, avoid creating new risk by opening links, and remain honest about its uncertainty. The technical problem therefore has three parts: a labelled dataset that is not trivially separable, a classifier that generalises beyond the training campaigns, and an evidence layer that turns model weights and rule matches into readable advice.</w:t>
      </w:r>
    </w:p>
    <w:p>
      <w:pPr>
        <w:pStyle w:val="Heading2"/>
      </w:pPr>
      <w:r>
        <w:t>2.2 Objectives</w:t>
      </w:r>
    </w:p>
    <w:p>
      <w:pPr>
        <w:pStyle w:val="ListBullet"/>
        <w:spacing w:after="60"/>
      </w:pPr>
      <w:r>
        <w:t>Assemble a public and carefully constructed labelled dataset of legitimate and phishing messages with documented provenance and licences.</w:t>
      </w:r>
    </w:p>
    <w:p>
      <w:pPr>
        <w:pStyle w:val="ListBullet"/>
        <w:spacing w:after="60"/>
      </w:pPr>
      <w:r>
        <w:t>Detect urgency, credential requests, suspicious link structure, and sender mismatch where the information is available.</w:t>
      </w:r>
    </w:p>
    <w:p>
      <w:pPr>
        <w:pStyle w:val="ListBullet"/>
        <w:spacing w:after="60"/>
      </w:pPr>
      <w:r>
        <w:t>Return a risk label, a calibrated score, and a ranked explanation of the strongest signals in plain language.</w:t>
      </w:r>
    </w:p>
    <w:p>
      <w:pPr>
        <w:pStyle w:val="ListBullet"/>
        <w:spacing w:after="60"/>
      </w:pPr>
      <w:r>
        <w:t>Never open or automatically resolve a submitted link; display links in a defanged, non-clickable form.</w:t>
      </w:r>
    </w:p>
    <w:p>
      <w:pPr>
        <w:pStyle w:val="ListBullet"/>
        <w:spacing w:after="60"/>
      </w:pPr>
      <w:r>
        <w:t>Evaluate on a frozen held-out test set with precision, recall, F1, accuracy, false-positive rate, and confusion matrices.</w:t>
      </w:r>
    </w:p>
    <w:p>
      <w:pPr>
        <w:pStyle w:val="ListBullet"/>
        <w:spacing w:after="60"/>
      </w:pPr>
      <w:r>
        <w:t>Provide safe advice for reporting suspicious messages, including institutional and national reporting channels.</w:t>
      </w:r>
    </w:p>
    <w:p>
      <w:pPr>
        <w:pStyle w:val="Heading2"/>
      </w:pPr>
      <w:r>
        <w:t>2.3 Success criteria</w:t>
      </w:r>
    </w:p>
    <w:p>
      <w:pPr>
        <w:spacing w:after="120"/>
        <w:jc w:val="both"/>
      </w:pPr>
      <w:r>
        <w:rPr>
          <w:rFonts w:ascii="Times New Roman" w:hAnsi="Times New Roman"/>
          <w:i w:val="0"/>
          <w:sz w:val="22"/>
        </w:rPr>
        <w:t>The project treats the Q5 brief as the minimum bar and adds four internal quality gates: the dataset must not be solvable by a single URL-presence feature; the legitimate class must contain a meaningful proportion of hard negatives; no near-duplicate cluster may cross the train, validation, or test boundary; and the test set must be large enough for the reported rates to be interpretable. These gates are described in Section 3.6.</w:t>
      </w:r>
    </w:p>
    <w:p>
      <w:pPr>
        <w:pStyle w:val="Heading1"/>
      </w:pPr>
      <w:r>
        <w:t>3. Dataset Selection and Construction</w:t>
      </w:r>
    </w:p>
    <w:p>
      <w:pPr>
        <w:pStyle w:val="Heading2"/>
      </w:pPr>
      <w:r>
        <w:t>3.1 Requirements</w:t>
      </w:r>
    </w:p>
    <w:p>
      <w:pPr>
        <w:spacing w:after="120"/>
        <w:jc w:val="both"/>
      </w:pPr>
      <w:r>
        <w:rPr>
          <w:rFonts w:ascii="Times New Roman" w:hAnsi="Times New Roman"/>
          <w:i w:val="0"/>
          <w:sz w:val="22"/>
        </w:rPr>
        <w:t>The dataset needed real phishing examples, real legitimate examples that contain links and security vocabulary, and a scenario-specific set of VIT messages. The legitimate class was the harder requirement: a dataset in which every legitimate message is short and link-free teaches the model that the presence of a URL is evidence of phishing. The selection therefore prioritised hard negatives, not raw volume.</w:t>
      </w:r>
    </w:p>
    <w:p>
      <w:pPr>
        <w:pStyle w:val="Heading2"/>
      </w:pPr>
      <w:r>
        <w:t>3.2 Sources and licences</w:t>
      </w:r>
    </w:p>
    <w:p>
      <w:pPr>
        <w:spacing w:after="120"/>
        <w:jc w:val="both"/>
      </w:pPr>
      <w:r>
        <w:rPr>
          <w:rFonts w:ascii="Times New Roman" w:hAnsi="Times New Roman"/>
          <w:i w:val="0"/>
          <w:sz w:val="22"/>
        </w:rPr>
        <w:t>Three sources were used. The Nazario Phishing Corpus [1] supplies real, hand-classified phishing emails and is distributed under CC-BY-4.0. The SpamAssassin public mail corpus [2] supplies real legitimate mail, including the easy_ham, easy_ham_2, and hard_ham groups; the hard_ham group is particularly valuable because it contains HTML, links, and spammish-sounding phrases in legitimate messages. The constructed VIT corpus supplies the scenario and genuine institutional notices. Enron was considered and rejected because it contains real personal data and does not have a clear redistribution licence.</w:t>
      </w:r>
    </w:p>
    <w:p>
      <w:pPr>
        <w:keepNext/>
        <w:spacing w:before="200" w:after="80"/>
      </w:pPr>
      <w:r>
        <w:rPr>
          <w:rFonts w:ascii="Times New Roman" w:hAnsi="Times New Roman"/>
          <w:b/>
          <w:color w:val="1D2A24"/>
          <w:sz w:val="19"/>
        </w:rPr>
        <w:t>Table 1. Dataset sources, roles, and licences.</w:t>
      </w:r>
    </w:p>
    <w:tbl>
      <w:tblPr>
        <w:tblStyle w:val="TableGrid"/>
        <w:tblW w:type="auto" w:w="0"/>
        <w:jc w:val="center"/>
        <w:tblLayout w:type="fixed"/>
        <w:tblLook w:firstColumn="1" w:firstRow="1" w:lastColumn="0" w:lastRow="0" w:noHBand="0" w:noVBand="1" w:val="04A0"/>
      </w:tblPr>
      <w:tblGrid>
        <w:gridCol w:w="2736"/>
        <w:gridCol w:w="3024"/>
        <w:gridCol w:w="864"/>
        <w:gridCol w:w="2160"/>
      </w:tblGrid>
      <w:tr>
        <w:trPr>
          <w:cantSplit/>
          <w:tblHeader/>
        </w:trPr>
        <w:tc>
          <w:tcPr>
            <w:tcW w:type="dxa" w:w="2736"/>
            <w:shd w:val="clear" w:color="auto" w:fill="EEF1EA"/>
          </w:tcPr>
          <w:p>
            <w:pPr>
              <w:spacing w:after="20" w:before="20"/>
            </w:pPr>
            <w:r/>
            <w:r>
              <w:rPr>
                <w:rFonts w:ascii="Times New Roman" w:hAnsi="Times New Roman"/>
                <w:b/>
                <w:color w:val="1D2A24"/>
                <w:sz w:val="18"/>
              </w:rPr>
              <w:t>Source</w:t>
            </w:r>
          </w:p>
        </w:tc>
        <w:tc>
          <w:tcPr>
            <w:tcW w:type="dxa" w:w="3024"/>
            <w:shd w:val="clear" w:color="auto" w:fill="EEF1EA"/>
          </w:tcPr>
          <w:p>
            <w:pPr>
              <w:spacing w:after="20" w:before="20"/>
            </w:pPr>
            <w:r/>
            <w:r>
              <w:rPr>
                <w:rFonts w:ascii="Times New Roman" w:hAnsi="Times New Roman"/>
                <w:b/>
                <w:color w:val="1D2A24"/>
                <w:sz w:val="18"/>
              </w:rPr>
              <w:t>Role</w:t>
            </w:r>
          </w:p>
        </w:tc>
        <w:tc>
          <w:tcPr>
            <w:tcW w:type="dxa" w:w="864"/>
            <w:shd w:val="clear" w:color="auto" w:fill="EEF1EA"/>
          </w:tcPr>
          <w:p>
            <w:pPr>
              <w:spacing w:after="20" w:before="20"/>
            </w:pPr>
            <w:r/>
            <w:r>
              <w:rPr>
                <w:rFonts w:ascii="Times New Roman" w:hAnsi="Times New Roman"/>
                <w:b/>
                <w:color w:val="1D2A24"/>
                <w:sz w:val="18"/>
              </w:rPr>
              <w:t>Rows</w:t>
            </w:r>
          </w:p>
        </w:tc>
        <w:tc>
          <w:tcPr>
            <w:tcW w:type="dxa" w:w="2160"/>
            <w:shd w:val="clear" w:color="auto" w:fill="EEF1EA"/>
          </w:tcPr>
          <w:p>
            <w:pPr>
              <w:spacing w:after="20" w:before="20"/>
            </w:pPr>
            <w:r/>
            <w:r>
              <w:rPr>
                <w:rFonts w:ascii="Times New Roman" w:hAnsi="Times New Roman"/>
                <w:b/>
                <w:color w:val="1D2A24"/>
                <w:sz w:val="18"/>
              </w:rPr>
              <w:t>Licence</w:t>
            </w:r>
          </w:p>
        </w:tc>
      </w:tr>
      <w:tr>
        <w:trPr>
          <w:cantSplit/>
        </w:trPr>
        <w:tc>
          <w:tcPr>
            <w:tcW w:type="dxa" w:w="2736"/>
          </w:tcPr>
          <w:p>
            <w:pPr>
              <w:spacing w:after="20" w:before="20"/>
            </w:pPr>
            <w:r/>
            <w:r>
              <w:rPr>
                <w:rFonts w:ascii="Times New Roman" w:hAnsi="Times New Roman"/>
                <w:b w:val="0"/>
                <w:color w:val="1A1A1A"/>
                <w:sz w:val="18"/>
              </w:rPr>
              <w:t>Nazario Phishing Corpus (2022–2024)</w:t>
            </w:r>
          </w:p>
        </w:tc>
        <w:tc>
          <w:tcPr>
            <w:tcW w:type="dxa" w:w="3024"/>
          </w:tcPr>
          <w:p>
            <w:pPr>
              <w:spacing w:after="20" w:before="20"/>
            </w:pPr>
            <w:r/>
            <w:r>
              <w:rPr>
                <w:rFonts w:ascii="Times New Roman" w:hAnsi="Times New Roman"/>
                <w:b w:val="0"/>
                <w:color w:val="1A1A1A"/>
                <w:sz w:val="18"/>
              </w:rPr>
              <w:t>Real phishing email</w:t>
            </w:r>
          </w:p>
        </w:tc>
        <w:tc>
          <w:tcPr>
            <w:tcW w:type="dxa" w:w="864"/>
          </w:tcPr>
          <w:p>
            <w:pPr>
              <w:spacing w:after="20" w:before="20"/>
            </w:pPr>
            <w:r/>
            <w:r>
              <w:rPr>
                <w:rFonts w:ascii="Times New Roman" w:hAnsi="Times New Roman"/>
                <w:b w:val="0"/>
                <w:color w:val="1A1A1A"/>
                <w:sz w:val="18"/>
              </w:rPr>
              <w:t>500</w:t>
            </w:r>
          </w:p>
        </w:tc>
        <w:tc>
          <w:tcPr>
            <w:tcW w:type="dxa" w:w="2160"/>
          </w:tcPr>
          <w:p>
            <w:pPr>
              <w:spacing w:after="20" w:before="20"/>
            </w:pPr>
            <w:r/>
            <w:r>
              <w:rPr>
                <w:rFonts w:ascii="Times New Roman" w:hAnsi="Times New Roman"/>
                <w:b w:val="0"/>
                <w:color w:val="1A1A1A"/>
                <w:sz w:val="18"/>
              </w:rPr>
              <w:t>CC-BY-4.0</w:t>
            </w:r>
          </w:p>
        </w:tc>
      </w:tr>
      <w:tr>
        <w:trPr>
          <w:cantSplit/>
        </w:trPr>
        <w:tc>
          <w:tcPr>
            <w:tcW w:type="dxa" w:w="2736"/>
          </w:tcPr>
          <w:p>
            <w:pPr>
              <w:spacing w:after="20" w:before="20"/>
            </w:pPr>
            <w:r/>
            <w:r>
              <w:rPr>
                <w:rFonts w:ascii="Times New Roman" w:hAnsi="Times New Roman"/>
                <w:b w:val="0"/>
                <w:color w:val="1A1A1A"/>
                <w:sz w:val="18"/>
              </w:rPr>
              <w:t>SpamAssassin easy_ham / easy_ham_2 / hard_ham</w:t>
            </w:r>
          </w:p>
        </w:tc>
        <w:tc>
          <w:tcPr>
            <w:tcW w:type="dxa" w:w="3024"/>
          </w:tcPr>
          <w:p>
            <w:pPr>
              <w:spacing w:after="20" w:before="20"/>
            </w:pPr>
            <w:r/>
            <w:r>
              <w:rPr>
                <w:rFonts w:ascii="Times New Roman" w:hAnsi="Times New Roman"/>
                <w:b w:val="0"/>
                <w:color w:val="1A1A1A"/>
                <w:sz w:val="18"/>
              </w:rPr>
              <w:t>Real legitimate email and hard negatives</w:t>
            </w:r>
          </w:p>
        </w:tc>
        <w:tc>
          <w:tcPr>
            <w:tcW w:type="dxa" w:w="864"/>
          </w:tcPr>
          <w:p>
            <w:pPr>
              <w:spacing w:after="20" w:before="20"/>
            </w:pPr>
            <w:r/>
            <w:r>
              <w:rPr>
                <w:rFonts w:ascii="Times New Roman" w:hAnsi="Times New Roman"/>
                <w:b w:val="0"/>
                <w:color w:val="1A1A1A"/>
                <w:sz w:val="18"/>
              </w:rPr>
              <w:t>550</w:t>
            </w:r>
          </w:p>
        </w:tc>
        <w:tc>
          <w:tcPr>
            <w:tcW w:type="dxa" w:w="2160"/>
          </w:tcPr>
          <w:p>
            <w:pPr>
              <w:spacing w:after="20" w:before="20"/>
            </w:pPr>
            <w:r/>
            <w:r>
              <w:rPr>
                <w:rFonts w:ascii="Times New Roman" w:hAnsi="Times New Roman"/>
                <w:b w:val="0"/>
                <w:color w:val="1A1A1A"/>
                <w:sz w:val="18"/>
              </w:rPr>
              <w:t>Public research corpus; copyright remains with the original senders</w:t>
            </w:r>
          </w:p>
        </w:tc>
      </w:tr>
      <w:tr>
        <w:trPr>
          <w:cantSplit/>
        </w:trPr>
        <w:tc>
          <w:tcPr>
            <w:tcW w:type="dxa" w:w="2736"/>
          </w:tcPr>
          <w:p>
            <w:pPr>
              <w:spacing w:after="20" w:before="20"/>
            </w:pPr>
            <w:r/>
            <w:r>
              <w:rPr>
                <w:rFonts w:ascii="Times New Roman" w:hAnsi="Times New Roman"/>
                <w:b w:val="0"/>
                <w:color w:val="1A1A1A"/>
                <w:sz w:val="18"/>
              </w:rPr>
              <w:t>Constructed VIT corpus</w:t>
            </w:r>
          </w:p>
        </w:tc>
        <w:tc>
          <w:tcPr>
            <w:tcW w:type="dxa" w:w="3024"/>
          </w:tcPr>
          <w:p>
            <w:pPr>
              <w:spacing w:after="20" w:before="20"/>
            </w:pPr>
            <w:r/>
            <w:r>
              <w:rPr>
                <w:rFonts w:ascii="Times New Roman" w:hAnsi="Times New Roman"/>
                <w:b w:val="0"/>
                <w:color w:val="1A1A1A"/>
                <w:sz w:val="18"/>
              </w:rPr>
              <w:t>Scenario messages and genuine institutional notices</w:t>
            </w:r>
          </w:p>
        </w:tc>
        <w:tc>
          <w:tcPr>
            <w:tcW w:type="dxa" w:w="864"/>
          </w:tcPr>
          <w:p>
            <w:pPr>
              <w:spacing w:after="20" w:before="20"/>
            </w:pPr>
            <w:r/>
            <w:r>
              <w:rPr>
                <w:rFonts w:ascii="Times New Roman" w:hAnsi="Times New Roman"/>
                <w:b w:val="0"/>
                <w:color w:val="1A1A1A"/>
                <w:sz w:val="18"/>
              </w:rPr>
              <w:t>240</w:t>
            </w:r>
          </w:p>
        </w:tc>
        <w:tc>
          <w:tcPr>
            <w:tcW w:type="dxa" w:w="2160"/>
          </w:tcPr>
          <w:p>
            <w:pPr>
              <w:spacing w:after="20" w:before="20"/>
            </w:pPr>
            <w:r/>
            <w:r>
              <w:rPr>
                <w:rFonts w:ascii="Times New Roman" w:hAnsi="Times New Roman"/>
                <w:b w:val="0"/>
                <w:color w:val="1A1A1A"/>
                <w:sz w:val="18"/>
              </w:rPr>
              <w:t>Project-owned; marked synthetic</w:t>
            </w:r>
          </w:p>
        </w:tc>
      </w:tr>
      <w:tr>
        <w:trPr>
          <w:cantSplit/>
        </w:trPr>
        <w:tc>
          <w:tcPr>
            <w:tcW w:type="dxa" w:w="2736"/>
          </w:tcPr>
          <w:p>
            <w:pPr>
              <w:spacing w:after="20" w:before="20"/>
            </w:pPr>
            <w:r/>
            <w:r>
              <w:rPr>
                <w:rFonts w:ascii="Times New Roman" w:hAnsi="Times New Roman"/>
                <w:b w:val="0"/>
                <w:color w:val="1A1A1A"/>
                <w:sz w:val="18"/>
              </w:rPr>
              <w:t>Total</w:t>
            </w:r>
          </w:p>
        </w:tc>
        <w:tc>
          <w:tcPr>
            <w:tcW w:type="dxa" w:w="3024"/>
          </w:tcPr>
          <w:p>
            <w:pPr>
              <w:spacing w:after="20" w:before="20"/>
            </w:pPr>
            <w:r/>
            <w:r>
              <w:rPr>
                <w:rFonts w:ascii="Times New Roman" w:hAnsi="Times New Roman"/>
                <w:b w:val="0"/>
                <w:color w:val="1A1A1A"/>
                <w:sz w:val="18"/>
              </w:rPr>
            </w:r>
          </w:p>
        </w:tc>
        <w:tc>
          <w:tcPr>
            <w:tcW w:type="dxa" w:w="864"/>
          </w:tcPr>
          <w:p>
            <w:pPr>
              <w:spacing w:after="20" w:before="20"/>
            </w:pPr>
            <w:r/>
            <w:r>
              <w:rPr>
                <w:rFonts w:ascii="Times New Roman" w:hAnsi="Times New Roman"/>
                <w:b w:val="0"/>
                <w:color w:val="1A1A1A"/>
                <w:sz w:val="18"/>
              </w:rPr>
              <w:t>1,290</w:t>
            </w:r>
          </w:p>
        </w:tc>
        <w:tc>
          <w:tcPr>
            <w:tcW w:type="dxa" w:w="2160"/>
          </w:tcPr>
          <w:p>
            <w:pPr>
              <w:spacing w:after="20" w:before="20"/>
            </w:pPr>
            <w:r/>
            <w:r>
              <w:rPr>
                <w:rFonts w:ascii="Times New Roman" w:hAnsi="Times New Roman"/>
                <w:b w:val="0"/>
                <w:color w:val="1A1A1A"/>
                <w:sz w:val="18"/>
              </w:rPr>
            </w:r>
          </w:p>
        </w:tc>
      </w:tr>
    </w:tbl>
    <w:p>
      <w:pPr>
        <w:spacing w:after="120"/>
        <w:jc w:val="both"/>
      </w:pPr>
      <w:r>
        <w:rPr>
          <w:rFonts w:ascii="Times New Roman" w:hAnsi="Times New Roman"/>
          <w:i w:val="0"/>
          <w:sz w:val="22"/>
        </w:rPr>
        <w:t>The Nazario corpus and the SpamAssassin corpus are not redistributed as raw archives. The repository contains a processed snapshot and a source manifest with URLs and SHA-256 hashes. The SpamAssassin readme states that copyright in the messages remains with the original senders; the corpus is used here for non-commercial educational research with attribution. The dataset card records this caveat.</w:t>
      </w:r>
    </w:p>
    <w:p>
      <w:pPr>
        <w:pStyle w:val="Heading2"/>
      </w:pPr>
      <w:r>
        <w:t>3.3 The constructed VIT corpus</w:t>
      </w:r>
    </w:p>
    <w:p>
      <w:pPr>
        <w:spacing w:after="120"/>
        <w:jc w:val="both"/>
      </w:pPr>
      <w:r>
        <w:rPr>
          <w:rFonts w:ascii="Times New Roman" w:hAnsi="Times New Roman"/>
          <w:i w:val="0"/>
          <w:sz w:val="22"/>
        </w:rPr>
        <w:t>The constructed corpus contains 240 messages across 120 templates, split evenly between 120 phishing and 120 legitimate messages. It was written in two passes. The first pass covered the VIT account-suspension scenario, fake VTOP credential pages, fee discrepancies, examination threats, placement lures, hostel and library expiry, and scholarship and refund lures. The second pass added subtler messages: reply-to document harvesting, remote-support tool lures, fake hall tickets, lookalike domains, IP-address hosts, shorteners, punycode, and QR/payment requests, alongside additional genuine hard negatives such as password-expiry notices, fee reminders, OTP deliveries, bank alerts, delivery tracking, and security alerts.</w:t>
      </w:r>
    </w:p>
    <w:p>
      <w:pPr>
        <w:spacing w:after="120"/>
        <w:jc w:val="both"/>
      </w:pPr>
      <w:r>
        <w:rPr>
          <w:rFonts w:ascii="Times New Roman" w:hAnsi="Times New Roman"/>
          <w:i w:val="0"/>
          <w:sz w:val="22"/>
        </w:rPr>
        <w:t>Every constructed row is marked is_synthetic=True. The legitimate rows deliberately include links, security vocabulary, and deadlines so that the model cannot learn 'mentions VIT = phishing' or 'contains a URL = phishing'. Phishing senders use non-institutional domains; genuine institutional notices use vit.ac.in addresses. Variants of the same template share a template identifier and are kept in the same split.</w:t>
      </w:r>
    </w:p>
    <w:p>
      <w:pPr>
        <w:pStyle w:val="Heading2"/>
      </w:pPr>
      <w:r>
        <w:t>3.4 Cleaning and schema</w:t>
      </w:r>
    </w:p>
    <w:p>
      <w:pPr>
        <w:spacing w:after="120"/>
        <w:jc w:val="both"/>
      </w:pPr>
      <w:r>
        <w:rPr>
          <w:rFonts w:ascii="Times New Roman" w:hAnsi="Times New Roman"/>
          <w:i w:val="0"/>
          <w:sz w:val="22"/>
        </w:rPr>
        <w:t>Raw MIME messages are decoded with the declared character set, including base64 and quoted-printable payloads. HTML is converted to text; anchor text is preserved and the (anchor, href) pairs are retained during extraction, then the hrefs are appended to the text so that links survive conversion. Quoted replies, forwarded header blocks, and the standard '-- ' signature are removed. Email addresses and ten-digit Indian mobile numbers are redacted to &lt;EMAIL&gt; and &lt;PHONE&gt;. For public corpora, the sender local-part is masked and only the domain is retained. Exact duplicates are removed, and near-duplicates are grouped with character 3–5-gram TF-IDF cosine similarity. The full schema is listed in Appendix A.</w:t>
      </w:r>
    </w:p>
    <w:p>
      <w:pPr>
        <w:pStyle w:val="Heading2"/>
      </w:pPr>
      <w:r>
        <w:t>3.5 Rejection of the initial 126-row dataset</w:t>
      </w:r>
    </w:p>
    <w:p>
      <w:pPr>
        <w:spacing w:after="120"/>
        <w:jc w:val="both"/>
      </w:pPr>
      <w:r>
        <w:rPr>
          <w:rFonts w:ascii="Times New Roman" w:hAnsi="Times New Roman"/>
          <w:i w:val="0"/>
          <w:sz w:val="22"/>
        </w:rPr>
        <w:t>The first prototype used a hand-written dataset of 126 rows with a 19-row test set. A single feature, 'the message contains a URL', predicted the label with 100% accuracy on that dataset; none of the 80 legitimate messages contained security vocabulary such as 'suspend', 'verify', 'password', 'OTP', or 'immediately'. Ten of the nineteen test rows had a cosine similarity above 0.9 with a training row, and the split was random rather than grouped. The resulting perfect test scores measured memorisation and a shortcut, not phishing detection.</w:t>
      </w:r>
    </w:p>
    <w:p>
      <w:pPr>
        <w:spacing w:after="120"/>
        <w:jc w:val="both"/>
      </w:pPr>
      <w:r>
        <w:rPr>
          <w:rFonts w:ascii="Times New Roman" w:hAnsi="Times New Roman"/>
          <w:i w:val="0"/>
          <w:sz w:val="22"/>
        </w:rPr>
        <w:t>The dataset was therefore rebuilt. The replacement contains 1,290 rows; the URL-only shortcut falls to 54.34% accuracy on the full dataset and 42.56% on the test set; hard negatives make up 36.72% of the legitimate class; the maximum test-to-train character similarity is 0.8290; and the test set contains 242 rows. These values are enforced as quality gates in the test suite.</w:t>
      </w:r>
    </w:p>
    <w:p>
      <w:pPr>
        <w:pStyle w:val="Heading2"/>
      </w:pPr>
      <w:r>
        <w:t>3.6 Splitting strategy</w:t>
      </w:r>
    </w:p>
    <w:p>
      <w:pPr>
        <w:spacing w:after="120"/>
        <w:jc w:val="both"/>
      </w:pPr>
      <w:r>
        <w:rPr>
          <w:rFonts w:ascii="Times New Roman" w:hAnsi="Times New Roman"/>
          <w:i w:val="0"/>
          <w:sz w:val="22"/>
        </w:rPr>
        <w:t>Splitting is performed independently for each source. The grouping key is the near-duplicate cluster identifier, so an entire cluster is assigned to one split. For sources with both classes, StratifiedGroupKFold with seven folds is used; for single-class sources, GroupKFold is used. Fold 0 becomes validation, fold 1 becomes test, and the remaining folds become training. This gives approximately 70/15/15 while guaranteeing that every source appears in the test set and that no cluster crosses a split. A final repair pass merges any same-source, same-label clusters that still exceed 0.85 cosine similarity across the boundary and re-splits.</w:t>
      </w:r>
    </w:p>
    <w:p>
      <w:pPr>
        <w:keepNext/>
        <w:spacing w:before="200" w:after="80"/>
      </w:pPr>
      <w:r>
        <w:rPr>
          <w:rFonts w:ascii="Times New Roman" w:hAnsi="Times New Roman"/>
          <w:b/>
          <w:color w:val="1D2A24"/>
          <w:sz w:val="19"/>
        </w:rPr>
        <w:t>Table 2. Dataset split by source.</w:t>
      </w:r>
    </w:p>
    <w:tbl>
      <w:tblPr>
        <w:tblStyle w:val="TableGrid"/>
        <w:tblW w:type="auto" w:w="0"/>
        <w:jc w:val="center"/>
        <w:tblLayout w:type="fixed"/>
        <w:tblLook w:firstColumn="1" w:firstRow="1" w:lastColumn="0" w:lastRow="0" w:noHBand="0" w:noVBand="1" w:val="04A0"/>
      </w:tblPr>
      <w:tblGrid>
        <w:gridCol w:w="3024"/>
        <w:gridCol w:w="1296"/>
        <w:gridCol w:w="1296"/>
        <w:gridCol w:w="1296"/>
        <w:gridCol w:w="1296"/>
      </w:tblGrid>
      <w:tr>
        <w:trPr>
          <w:cantSplit/>
          <w:tblHeader/>
        </w:trPr>
        <w:tc>
          <w:tcPr>
            <w:tcW w:type="dxa" w:w="3024"/>
            <w:shd w:val="clear" w:color="auto" w:fill="EEF1EA"/>
          </w:tcPr>
          <w:p>
            <w:pPr>
              <w:spacing w:after="20" w:before="20"/>
            </w:pPr>
            <w:r/>
            <w:r>
              <w:rPr>
                <w:rFonts w:ascii="Times New Roman" w:hAnsi="Times New Roman"/>
                <w:b/>
                <w:color w:val="1D2A24"/>
                <w:sz w:val="18"/>
              </w:rPr>
              <w:t>Source</w:t>
            </w:r>
          </w:p>
        </w:tc>
        <w:tc>
          <w:tcPr>
            <w:tcW w:type="dxa" w:w="1296"/>
            <w:shd w:val="clear" w:color="auto" w:fill="EEF1EA"/>
          </w:tcPr>
          <w:p>
            <w:pPr>
              <w:spacing w:after="20" w:before="20"/>
            </w:pPr>
            <w:r/>
            <w:r>
              <w:rPr>
                <w:rFonts w:ascii="Times New Roman" w:hAnsi="Times New Roman"/>
                <w:b/>
                <w:color w:val="1D2A24"/>
                <w:sz w:val="18"/>
              </w:rPr>
              <w:t>Training</w:t>
            </w:r>
          </w:p>
        </w:tc>
        <w:tc>
          <w:tcPr>
            <w:tcW w:type="dxa" w:w="1296"/>
            <w:shd w:val="clear" w:color="auto" w:fill="EEF1EA"/>
          </w:tcPr>
          <w:p>
            <w:pPr>
              <w:spacing w:after="20" w:before="20"/>
            </w:pPr>
            <w:r/>
            <w:r>
              <w:rPr>
                <w:rFonts w:ascii="Times New Roman" w:hAnsi="Times New Roman"/>
                <w:b/>
                <w:color w:val="1D2A24"/>
                <w:sz w:val="18"/>
              </w:rPr>
              <w:t>Validation</w:t>
            </w:r>
          </w:p>
        </w:tc>
        <w:tc>
          <w:tcPr>
            <w:tcW w:type="dxa" w:w="1296"/>
            <w:shd w:val="clear" w:color="auto" w:fill="EEF1EA"/>
          </w:tcPr>
          <w:p>
            <w:pPr>
              <w:spacing w:after="20" w:before="20"/>
            </w:pPr>
            <w:r/>
            <w:r>
              <w:rPr>
                <w:rFonts w:ascii="Times New Roman" w:hAnsi="Times New Roman"/>
                <w:b/>
                <w:color w:val="1D2A24"/>
                <w:sz w:val="18"/>
              </w:rPr>
              <w:t>Test</w:t>
            </w:r>
          </w:p>
        </w:tc>
        <w:tc>
          <w:tcPr>
            <w:tcW w:type="dxa" w:w="1296"/>
            <w:shd w:val="clear" w:color="auto" w:fill="EEF1EA"/>
          </w:tcPr>
          <w:p>
            <w:pPr>
              <w:spacing w:after="20" w:before="20"/>
            </w:pPr>
            <w:r/>
            <w:r>
              <w:rPr>
                <w:rFonts w:ascii="Times New Roman" w:hAnsi="Times New Roman"/>
                <w:b/>
                <w:color w:val="1D2A24"/>
                <w:sz w:val="18"/>
              </w:rPr>
              <w:t>Total</w:t>
            </w:r>
          </w:p>
        </w:tc>
      </w:tr>
      <w:tr>
        <w:trPr>
          <w:cantSplit/>
        </w:trPr>
        <w:tc>
          <w:tcPr>
            <w:tcW w:type="dxa" w:w="3024"/>
          </w:tcPr>
          <w:p>
            <w:pPr>
              <w:spacing w:after="20" w:before="20"/>
            </w:pPr>
            <w:r/>
            <w:r>
              <w:rPr>
                <w:rFonts w:ascii="Times New Roman" w:hAnsi="Times New Roman"/>
                <w:b w:val="0"/>
                <w:color w:val="1A1A1A"/>
                <w:sz w:val="18"/>
              </w:rPr>
              <w:t>Nazario</w:t>
            </w:r>
          </w:p>
        </w:tc>
        <w:tc>
          <w:tcPr>
            <w:tcW w:type="dxa" w:w="1296"/>
          </w:tcPr>
          <w:p>
            <w:pPr>
              <w:spacing w:after="20" w:before="20"/>
            </w:pPr>
            <w:r/>
            <w:r>
              <w:rPr>
                <w:rFonts w:ascii="Times New Roman" w:hAnsi="Times New Roman"/>
                <w:b w:val="0"/>
                <w:color w:val="1A1A1A"/>
                <w:sz w:val="18"/>
              </w:rPr>
              <w:t>352</w:t>
            </w:r>
          </w:p>
        </w:tc>
        <w:tc>
          <w:tcPr>
            <w:tcW w:type="dxa" w:w="1296"/>
          </w:tcPr>
          <w:p>
            <w:pPr>
              <w:spacing w:after="20" w:before="20"/>
            </w:pPr>
            <w:r/>
            <w:r>
              <w:rPr>
                <w:rFonts w:ascii="Times New Roman" w:hAnsi="Times New Roman"/>
                <w:b w:val="0"/>
                <w:color w:val="1A1A1A"/>
                <w:sz w:val="18"/>
              </w:rPr>
              <w:t>75</w:t>
            </w:r>
          </w:p>
        </w:tc>
        <w:tc>
          <w:tcPr>
            <w:tcW w:type="dxa" w:w="1296"/>
          </w:tcPr>
          <w:p>
            <w:pPr>
              <w:spacing w:after="20" w:before="20"/>
            </w:pPr>
            <w:r/>
            <w:r>
              <w:rPr>
                <w:rFonts w:ascii="Times New Roman" w:hAnsi="Times New Roman"/>
                <w:b w:val="0"/>
                <w:color w:val="1A1A1A"/>
                <w:sz w:val="18"/>
              </w:rPr>
              <w:t>73</w:t>
            </w:r>
          </w:p>
        </w:tc>
        <w:tc>
          <w:tcPr>
            <w:tcW w:type="dxa" w:w="1296"/>
          </w:tcPr>
          <w:p>
            <w:pPr>
              <w:spacing w:after="20" w:before="20"/>
            </w:pPr>
            <w:r/>
            <w:r>
              <w:rPr>
                <w:rFonts w:ascii="Times New Roman" w:hAnsi="Times New Roman"/>
                <w:b w:val="0"/>
                <w:color w:val="1A1A1A"/>
                <w:sz w:val="18"/>
              </w:rPr>
              <w:t>500</w:t>
            </w:r>
          </w:p>
        </w:tc>
      </w:tr>
      <w:tr>
        <w:trPr>
          <w:cantSplit/>
        </w:trPr>
        <w:tc>
          <w:tcPr>
            <w:tcW w:type="dxa" w:w="3024"/>
          </w:tcPr>
          <w:p>
            <w:pPr>
              <w:spacing w:after="20" w:before="20"/>
            </w:pPr>
            <w:r/>
            <w:r>
              <w:rPr>
                <w:rFonts w:ascii="Times New Roman" w:hAnsi="Times New Roman"/>
                <w:b w:val="0"/>
                <w:color w:val="1A1A1A"/>
                <w:sz w:val="18"/>
              </w:rPr>
              <w:t>SpamAssassin</w:t>
            </w:r>
          </w:p>
        </w:tc>
        <w:tc>
          <w:tcPr>
            <w:tcW w:type="dxa" w:w="1296"/>
          </w:tcPr>
          <w:p>
            <w:pPr>
              <w:spacing w:after="20" w:before="20"/>
            </w:pPr>
            <w:r/>
            <w:r>
              <w:rPr>
                <w:rFonts w:ascii="Times New Roman" w:hAnsi="Times New Roman"/>
                <w:b w:val="0"/>
                <w:color w:val="1A1A1A"/>
                <w:sz w:val="18"/>
              </w:rPr>
              <w:t>362</w:t>
            </w:r>
          </w:p>
        </w:tc>
        <w:tc>
          <w:tcPr>
            <w:tcW w:type="dxa" w:w="1296"/>
          </w:tcPr>
          <w:p>
            <w:pPr>
              <w:spacing w:after="20" w:before="20"/>
            </w:pPr>
            <w:r/>
            <w:r>
              <w:rPr>
                <w:rFonts w:ascii="Times New Roman" w:hAnsi="Times New Roman"/>
                <w:b w:val="0"/>
                <w:color w:val="1A1A1A"/>
                <w:sz w:val="18"/>
              </w:rPr>
              <w:t>53</w:t>
            </w:r>
          </w:p>
        </w:tc>
        <w:tc>
          <w:tcPr>
            <w:tcW w:type="dxa" w:w="1296"/>
          </w:tcPr>
          <w:p>
            <w:pPr>
              <w:spacing w:after="20" w:before="20"/>
            </w:pPr>
            <w:r/>
            <w:r>
              <w:rPr>
                <w:rFonts w:ascii="Times New Roman" w:hAnsi="Times New Roman"/>
                <w:b w:val="0"/>
                <w:color w:val="1A1A1A"/>
                <w:sz w:val="18"/>
              </w:rPr>
              <w:t>135</w:t>
            </w:r>
          </w:p>
        </w:tc>
        <w:tc>
          <w:tcPr>
            <w:tcW w:type="dxa" w:w="1296"/>
          </w:tcPr>
          <w:p>
            <w:pPr>
              <w:spacing w:after="20" w:before="20"/>
            </w:pPr>
            <w:r/>
            <w:r>
              <w:rPr>
                <w:rFonts w:ascii="Times New Roman" w:hAnsi="Times New Roman"/>
                <w:b w:val="0"/>
                <w:color w:val="1A1A1A"/>
                <w:sz w:val="18"/>
              </w:rPr>
              <w:t>550</w:t>
            </w:r>
          </w:p>
        </w:tc>
      </w:tr>
      <w:tr>
        <w:trPr>
          <w:cantSplit/>
        </w:trPr>
        <w:tc>
          <w:tcPr>
            <w:tcW w:type="dxa" w:w="3024"/>
          </w:tcPr>
          <w:p>
            <w:pPr>
              <w:spacing w:after="20" w:before="20"/>
            </w:pPr>
            <w:r/>
            <w:r>
              <w:rPr>
                <w:rFonts w:ascii="Times New Roman" w:hAnsi="Times New Roman"/>
                <w:b w:val="0"/>
                <w:color w:val="1A1A1A"/>
                <w:sz w:val="18"/>
              </w:rPr>
              <w:t>Constructed VIT</w:t>
            </w:r>
          </w:p>
        </w:tc>
        <w:tc>
          <w:tcPr>
            <w:tcW w:type="dxa" w:w="1296"/>
          </w:tcPr>
          <w:p>
            <w:pPr>
              <w:spacing w:after="20" w:before="20"/>
            </w:pPr>
            <w:r/>
            <w:r>
              <w:rPr>
                <w:rFonts w:ascii="Times New Roman" w:hAnsi="Times New Roman"/>
                <w:b w:val="0"/>
                <w:color w:val="1A1A1A"/>
                <w:sz w:val="18"/>
              </w:rPr>
              <w:t>172</w:t>
            </w:r>
          </w:p>
        </w:tc>
        <w:tc>
          <w:tcPr>
            <w:tcW w:type="dxa" w:w="1296"/>
          </w:tcPr>
          <w:p>
            <w:pPr>
              <w:spacing w:after="20" w:before="20"/>
            </w:pPr>
            <w:r/>
            <w:r>
              <w:rPr>
                <w:rFonts w:ascii="Times New Roman" w:hAnsi="Times New Roman"/>
                <w:b w:val="0"/>
                <w:color w:val="1A1A1A"/>
                <w:sz w:val="18"/>
              </w:rPr>
              <w:t>34</w:t>
            </w:r>
          </w:p>
        </w:tc>
        <w:tc>
          <w:tcPr>
            <w:tcW w:type="dxa" w:w="1296"/>
          </w:tcPr>
          <w:p>
            <w:pPr>
              <w:spacing w:after="20" w:before="20"/>
            </w:pPr>
            <w:r/>
            <w:r>
              <w:rPr>
                <w:rFonts w:ascii="Times New Roman" w:hAnsi="Times New Roman"/>
                <w:b w:val="0"/>
                <w:color w:val="1A1A1A"/>
                <w:sz w:val="18"/>
              </w:rPr>
              <w:t>34</w:t>
            </w:r>
          </w:p>
        </w:tc>
        <w:tc>
          <w:tcPr>
            <w:tcW w:type="dxa" w:w="1296"/>
          </w:tcPr>
          <w:p>
            <w:pPr>
              <w:spacing w:after="20" w:before="20"/>
            </w:pPr>
            <w:r/>
            <w:r>
              <w:rPr>
                <w:rFonts w:ascii="Times New Roman" w:hAnsi="Times New Roman"/>
                <w:b w:val="0"/>
                <w:color w:val="1A1A1A"/>
                <w:sz w:val="18"/>
              </w:rPr>
              <w:t>240</w:t>
            </w:r>
          </w:p>
        </w:tc>
      </w:tr>
      <w:tr>
        <w:trPr>
          <w:cantSplit/>
        </w:trPr>
        <w:tc>
          <w:tcPr>
            <w:tcW w:type="dxa" w:w="3024"/>
          </w:tcPr>
          <w:p>
            <w:pPr>
              <w:spacing w:after="20" w:before="20"/>
            </w:pPr>
            <w:r/>
            <w:r>
              <w:rPr>
                <w:rFonts w:ascii="Times New Roman" w:hAnsi="Times New Roman"/>
                <w:b w:val="0"/>
                <w:color w:val="1A1A1A"/>
                <w:sz w:val="18"/>
              </w:rPr>
              <w:t>Total</w:t>
            </w:r>
          </w:p>
        </w:tc>
        <w:tc>
          <w:tcPr>
            <w:tcW w:type="dxa" w:w="1296"/>
          </w:tcPr>
          <w:p>
            <w:pPr>
              <w:spacing w:after="20" w:before="20"/>
            </w:pPr>
            <w:r/>
            <w:r>
              <w:rPr>
                <w:rFonts w:ascii="Times New Roman" w:hAnsi="Times New Roman"/>
                <w:b w:val="0"/>
                <w:color w:val="1A1A1A"/>
                <w:sz w:val="18"/>
              </w:rPr>
              <w:t>886</w:t>
            </w:r>
          </w:p>
        </w:tc>
        <w:tc>
          <w:tcPr>
            <w:tcW w:type="dxa" w:w="1296"/>
          </w:tcPr>
          <w:p>
            <w:pPr>
              <w:spacing w:after="20" w:before="20"/>
            </w:pPr>
            <w:r/>
            <w:r>
              <w:rPr>
                <w:rFonts w:ascii="Times New Roman" w:hAnsi="Times New Roman"/>
                <w:b w:val="0"/>
                <w:color w:val="1A1A1A"/>
                <w:sz w:val="18"/>
              </w:rPr>
              <w:t>162</w:t>
            </w:r>
          </w:p>
        </w:tc>
        <w:tc>
          <w:tcPr>
            <w:tcW w:type="dxa" w:w="1296"/>
          </w:tcPr>
          <w:p>
            <w:pPr>
              <w:spacing w:after="20" w:before="20"/>
            </w:pPr>
            <w:r/>
            <w:r>
              <w:rPr>
                <w:rFonts w:ascii="Times New Roman" w:hAnsi="Times New Roman"/>
                <w:b w:val="0"/>
                <w:color w:val="1A1A1A"/>
                <w:sz w:val="18"/>
              </w:rPr>
              <w:t>242</w:t>
            </w:r>
          </w:p>
        </w:tc>
        <w:tc>
          <w:tcPr>
            <w:tcW w:type="dxa" w:w="1296"/>
          </w:tcPr>
          <w:p>
            <w:pPr>
              <w:spacing w:after="20" w:before="20"/>
            </w:pPr>
            <w:r/>
            <w:r>
              <w:rPr>
                <w:rFonts w:ascii="Times New Roman" w:hAnsi="Times New Roman"/>
                <w:b w:val="0"/>
                <w:color w:val="1A1A1A"/>
                <w:sz w:val="18"/>
              </w:rPr>
              <w:t>1,290</w:t>
            </w:r>
          </w:p>
        </w:tc>
      </w:tr>
    </w:tbl>
    <w:p>
      <w:pPr>
        <w:spacing w:after="120"/>
        <w:jc w:val="both"/>
      </w:pPr>
      <w:r>
        <w:rPr>
          <w:rFonts w:ascii="Times New Roman" w:hAnsi="Times New Roman"/>
          <w:i w:val="0"/>
          <w:sz w:val="22"/>
        </w:rPr>
        <w:t>The test set is frozen. Its SHA-256 digest is 79d3d92c3dfe10ef872c8a2fd7c2ef1e14060522a7d9441bdc77729c3f5c00f3. The manifest and the model metadata both record the digest, and the build script refuses to proceed if the test file changes.</w:t>
      </w:r>
    </w:p>
    <w:p>
      <w:pPr>
        <w:keepNext/>
        <w:spacing w:before="200" w:after="80"/>
      </w:pPr>
      <w:r>
        <w:rPr>
          <w:rFonts w:ascii="Times New Roman" w:hAnsi="Times New Roman"/>
          <w:b/>
          <w:color w:val="1D2A24"/>
          <w:sz w:val="19"/>
        </w:rPr>
        <w:t>Table 3. Dataset quality gates measured at build time.</w:t>
      </w:r>
    </w:p>
    <w:tbl>
      <w:tblPr>
        <w:tblStyle w:val="TableGrid"/>
        <w:tblW w:type="auto" w:w="0"/>
        <w:jc w:val="center"/>
        <w:tblLayout w:type="fixed"/>
        <w:tblLook w:firstColumn="1" w:firstRow="1" w:lastColumn="0" w:lastRow="0" w:noHBand="0" w:noVBand="1" w:val="04A0"/>
      </w:tblPr>
      <w:tblGrid>
        <w:gridCol w:w="5184"/>
        <w:gridCol w:w="1584"/>
        <w:gridCol w:w="1584"/>
      </w:tblGrid>
      <w:tr>
        <w:trPr>
          <w:cantSplit/>
          <w:tblHeader/>
        </w:trPr>
        <w:tc>
          <w:tcPr>
            <w:tcW w:type="dxa" w:w="5184"/>
            <w:shd w:val="clear" w:color="auto" w:fill="EEF1EA"/>
          </w:tcPr>
          <w:p>
            <w:pPr>
              <w:spacing w:after="20" w:before="20"/>
            </w:pPr>
            <w:r/>
            <w:r>
              <w:rPr>
                <w:rFonts w:ascii="Times New Roman" w:hAnsi="Times New Roman"/>
                <w:b/>
                <w:color w:val="1D2A24"/>
                <w:sz w:val="18"/>
              </w:rPr>
              <w:t>Gate</w:t>
            </w:r>
          </w:p>
        </w:tc>
        <w:tc>
          <w:tcPr>
            <w:tcW w:type="dxa" w:w="1584"/>
            <w:shd w:val="clear" w:color="auto" w:fill="EEF1EA"/>
          </w:tcPr>
          <w:p>
            <w:pPr>
              <w:spacing w:after="20" w:before="20"/>
            </w:pPr>
            <w:r/>
            <w:r>
              <w:rPr>
                <w:rFonts w:ascii="Times New Roman" w:hAnsi="Times New Roman"/>
                <w:b/>
                <w:color w:val="1D2A24"/>
                <w:sz w:val="18"/>
              </w:rPr>
              <w:t>Value</w:t>
            </w:r>
          </w:p>
        </w:tc>
        <w:tc>
          <w:tcPr>
            <w:tcW w:type="dxa" w:w="1584"/>
            <w:shd w:val="clear" w:color="auto" w:fill="EEF1EA"/>
          </w:tcPr>
          <w:p>
            <w:pPr>
              <w:spacing w:after="20" w:before="20"/>
            </w:pPr>
            <w:r/>
            <w:r>
              <w:rPr>
                <w:rFonts w:ascii="Times New Roman" w:hAnsi="Times New Roman"/>
                <w:b/>
                <w:color w:val="1D2A24"/>
                <w:sz w:val="18"/>
              </w:rPr>
              <w:t>Target</w:t>
            </w:r>
          </w:p>
        </w:tc>
      </w:tr>
      <w:tr>
        <w:trPr>
          <w:cantSplit/>
        </w:trPr>
        <w:tc>
          <w:tcPr>
            <w:tcW w:type="dxa" w:w="5184"/>
          </w:tcPr>
          <w:p>
            <w:pPr>
              <w:spacing w:after="20" w:before="20"/>
            </w:pPr>
            <w:r/>
            <w:r>
              <w:rPr>
                <w:rFonts w:ascii="Times New Roman" w:hAnsi="Times New Roman"/>
                <w:b w:val="0"/>
                <w:color w:val="1A1A1A"/>
                <w:sz w:val="18"/>
              </w:rPr>
              <w:t>URL-only shortcut accuracy (full dataset)</w:t>
            </w:r>
          </w:p>
        </w:tc>
        <w:tc>
          <w:tcPr>
            <w:tcW w:type="dxa" w:w="1584"/>
          </w:tcPr>
          <w:p>
            <w:pPr>
              <w:spacing w:after="20" w:before="20"/>
            </w:pPr>
            <w:r/>
            <w:r>
              <w:rPr>
                <w:rFonts w:ascii="Times New Roman" w:hAnsi="Times New Roman"/>
                <w:b w:val="0"/>
                <w:color w:val="1A1A1A"/>
                <w:sz w:val="18"/>
              </w:rPr>
              <w:t>0.5434</w:t>
            </w:r>
          </w:p>
        </w:tc>
        <w:tc>
          <w:tcPr>
            <w:tcW w:type="dxa" w:w="1584"/>
          </w:tcPr>
          <w:p>
            <w:pPr>
              <w:spacing w:after="20" w:before="20"/>
            </w:pPr>
            <w:r/>
            <w:r>
              <w:rPr>
                <w:rFonts w:ascii="Times New Roman" w:hAnsi="Times New Roman"/>
                <w:b w:val="0"/>
                <w:color w:val="1A1A1A"/>
                <w:sz w:val="18"/>
              </w:rPr>
              <w:t>&lt; 0.70</w:t>
            </w:r>
          </w:p>
        </w:tc>
      </w:tr>
      <w:tr>
        <w:trPr>
          <w:cantSplit/>
        </w:trPr>
        <w:tc>
          <w:tcPr>
            <w:tcW w:type="dxa" w:w="5184"/>
          </w:tcPr>
          <w:p>
            <w:pPr>
              <w:spacing w:after="20" w:before="20"/>
            </w:pPr>
            <w:r/>
            <w:r>
              <w:rPr>
                <w:rFonts w:ascii="Times New Roman" w:hAnsi="Times New Roman"/>
                <w:b w:val="0"/>
                <w:color w:val="1A1A1A"/>
                <w:sz w:val="18"/>
              </w:rPr>
              <w:t>URL-only shortcut accuracy (test set)</w:t>
            </w:r>
          </w:p>
        </w:tc>
        <w:tc>
          <w:tcPr>
            <w:tcW w:type="dxa" w:w="1584"/>
          </w:tcPr>
          <w:p>
            <w:pPr>
              <w:spacing w:after="20" w:before="20"/>
            </w:pPr>
            <w:r/>
            <w:r>
              <w:rPr>
                <w:rFonts w:ascii="Times New Roman" w:hAnsi="Times New Roman"/>
                <w:b w:val="0"/>
                <w:color w:val="1A1A1A"/>
                <w:sz w:val="18"/>
              </w:rPr>
              <w:t>0.4256</w:t>
            </w:r>
          </w:p>
        </w:tc>
        <w:tc>
          <w:tcPr>
            <w:tcW w:type="dxa" w:w="1584"/>
          </w:tcPr>
          <w:p>
            <w:pPr>
              <w:spacing w:after="20" w:before="20"/>
            </w:pPr>
            <w:r/>
            <w:r>
              <w:rPr>
                <w:rFonts w:ascii="Times New Roman" w:hAnsi="Times New Roman"/>
                <w:b w:val="0"/>
                <w:color w:val="1A1A1A"/>
                <w:sz w:val="18"/>
              </w:rPr>
              <w:t>&lt; 0.70</w:t>
            </w:r>
          </w:p>
        </w:tc>
      </w:tr>
      <w:tr>
        <w:trPr>
          <w:cantSplit/>
        </w:trPr>
        <w:tc>
          <w:tcPr>
            <w:tcW w:type="dxa" w:w="5184"/>
          </w:tcPr>
          <w:p>
            <w:pPr>
              <w:spacing w:after="20" w:before="20"/>
            </w:pPr>
            <w:r/>
            <w:r>
              <w:rPr>
                <w:rFonts w:ascii="Times New Roman" w:hAnsi="Times New Roman"/>
                <w:b w:val="0"/>
                <w:color w:val="1A1A1A"/>
                <w:sz w:val="18"/>
              </w:rPr>
              <w:t>Hard-negative share of the legitimate class</w:t>
            </w:r>
          </w:p>
        </w:tc>
        <w:tc>
          <w:tcPr>
            <w:tcW w:type="dxa" w:w="1584"/>
          </w:tcPr>
          <w:p>
            <w:pPr>
              <w:spacing w:after="20" w:before="20"/>
            </w:pPr>
            <w:r/>
            <w:r>
              <w:rPr>
                <w:rFonts w:ascii="Times New Roman" w:hAnsi="Times New Roman"/>
                <w:b w:val="0"/>
                <w:color w:val="1A1A1A"/>
                <w:sz w:val="18"/>
              </w:rPr>
              <w:t>0.3672</w:t>
            </w:r>
          </w:p>
        </w:tc>
        <w:tc>
          <w:tcPr>
            <w:tcW w:type="dxa" w:w="1584"/>
          </w:tcPr>
          <w:p>
            <w:pPr>
              <w:spacing w:after="20" w:before="20"/>
            </w:pPr>
            <w:r/>
            <w:r>
              <w:rPr>
                <w:rFonts w:ascii="Times New Roman" w:hAnsi="Times New Roman"/>
                <w:b w:val="0"/>
                <w:color w:val="1A1A1A"/>
                <w:sz w:val="18"/>
              </w:rPr>
              <w:t>&gt;= 0.25</w:t>
            </w:r>
          </w:p>
        </w:tc>
      </w:tr>
      <w:tr>
        <w:trPr>
          <w:cantSplit/>
        </w:trPr>
        <w:tc>
          <w:tcPr>
            <w:tcW w:type="dxa" w:w="5184"/>
          </w:tcPr>
          <w:p>
            <w:pPr>
              <w:spacing w:after="20" w:before="20"/>
            </w:pPr>
            <w:r/>
            <w:r>
              <w:rPr>
                <w:rFonts w:ascii="Times New Roman" w:hAnsi="Times New Roman"/>
                <w:b w:val="0"/>
                <w:color w:val="1A1A1A"/>
                <w:sz w:val="18"/>
              </w:rPr>
              <w:t>Maximum test-to-train character similarity</w:t>
            </w:r>
          </w:p>
        </w:tc>
        <w:tc>
          <w:tcPr>
            <w:tcW w:type="dxa" w:w="1584"/>
          </w:tcPr>
          <w:p>
            <w:pPr>
              <w:spacing w:after="20" w:before="20"/>
            </w:pPr>
            <w:r/>
            <w:r>
              <w:rPr>
                <w:rFonts w:ascii="Times New Roman" w:hAnsi="Times New Roman"/>
                <w:b w:val="0"/>
                <w:color w:val="1A1A1A"/>
                <w:sz w:val="18"/>
              </w:rPr>
              <w:t>0.8290</w:t>
            </w:r>
          </w:p>
        </w:tc>
        <w:tc>
          <w:tcPr>
            <w:tcW w:type="dxa" w:w="1584"/>
          </w:tcPr>
          <w:p>
            <w:pPr>
              <w:spacing w:after="20" w:before="20"/>
            </w:pPr>
            <w:r/>
            <w:r>
              <w:rPr>
                <w:rFonts w:ascii="Times New Roman" w:hAnsi="Times New Roman"/>
                <w:b w:val="0"/>
                <w:color w:val="1A1A1A"/>
                <w:sz w:val="18"/>
              </w:rPr>
              <w:t>&lt;= 0.85</w:t>
            </w:r>
          </w:p>
        </w:tc>
      </w:tr>
      <w:tr>
        <w:trPr>
          <w:cantSplit/>
        </w:trPr>
        <w:tc>
          <w:tcPr>
            <w:tcW w:type="dxa" w:w="5184"/>
          </w:tcPr>
          <w:p>
            <w:pPr>
              <w:spacing w:after="20" w:before="20"/>
            </w:pPr>
            <w:r/>
            <w:r>
              <w:rPr>
                <w:rFonts w:ascii="Times New Roman" w:hAnsi="Times New Roman"/>
                <w:b w:val="0"/>
                <w:color w:val="1A1A1A"/>
                <w:sz w:val="18"/>
              </w:rPr>
              <w:t>Frozen test rows</w:t>
            </w:r>
          </w:p>
        </w:tc>
        <w:tc>
          <w:tcPr>
            <w:tcW w:type="dxa" w:w="1584"/>
          </w:tcPr>
          <w:p>
            <w:pPr>
              <w:spacing w:after="20" w:before="20"/>
            </w:pPr>
            <w:r/>
            <w:r>
              <w:rPr>
                <w:rFonts w:ascii="Times New Roman" w:hAnsi="Times New Roman"/>
                <w:b w:val="0"/>
                <w:color w:val="1A1A1A"/>
                <w:sz w:val="18"/>
              </w:rPr>
              <w:t>242</w:t>
            </w:r>
          </w:p>
        </w:tc>
        <w:tc>
          <w:tcPr>
            <w:tcW w:type="dxa" w:w="1584"/>
          </w:tcPr>
          <w:p>
            <w:pPr>
              <w:spacing w:after="20" w:before="20"/>
            </w:pPr>
            <w:r/>
            <w:r>
              <w:rPr>
                <w:rFonts w:ascii="Times New Roman" w:hAnsi="Times New Roman"/>
                <w:b w:val="0"/>
                <w:color w:val="1A1A1A"/>
                <w:sz w:val="18"/>
              </w:rPr>
              <w:t>&gt;= 150</w:t>
            </w:r>
          </w:p>
        </w:tc>
      </w:tr>
    </w:tbl>
    <w:p>
      <w:pPr>
        <w:pStyle w:val="Heading2"/>
      </w:pPr>
      <w:r>
        <w:t>3.7 Dataset limitations</w:t>
      </w:r>
    </w:p>
    <w:p>
      <w:pPr>
        <w:pStyle w:val="ListBullet"/>
        <w:spacing w:after="60"/>
      </w:pPr>
      <w:r>
        <w:t>Temporal gap: the SpamAssassin legitimate mail is from 2002–2003, while the Nazario phishing mail is from 2022–2024. Era-specific style can influence the model.</w:t>
      </w:r>
    </w:p>
    <w:p>
      <w:pPr>
        <w:pStyle w:val="ListBullet"/>
        <w:spacing w:after="60"/>
      </w:pPr>
      <w:r>
        <w:t>Source/label confound: Nazario supplies only phishing and SpamAssassin only legitimate mail. The constructed VIT corpus is the only source with both classes.</w:t>
      </w:r>
    </w:p>
    <w:p>
      <w:pPr>
        <w:pStyle w:val="ListBullet"/>
        <w:spacing w:after="60"/>
      </w:pPr>
      <w:r>
        <w:t>Synthetic scenario: the VIT rows are authored, not observed in a real student inbox.</w:t>
      </w:r>
    </w:p>
    <w:p>
      <w:pPr>
        <w:pStyle w:val="ListBullet"/>
        <w:spacing w:after="60"/>
      </w:pPr>
      <w:r>
        <w:t>Language: the pilot is English-only. The schema and preprocessing are ready for Hindi and Tamil, but those results are future work.</w:t>
      </w:r>
    </w:p>
    <w:p>
      <w:pPr>
        <w:pStyle w:val="ListBullet"/>
        <w:spacing w:after="60"/>
      </w:pPr>
      <w:r>
        <w:t>Channel: the pilot contains email and constructed messages, not a real SMS corpus.</w:t>
      </w:r>
    </w:p>
    <w:p>
      <w:pPr>
        <w:pStyle w:val="ListBullet"/>
        <w:spacing w:after="60"/>
      </w:pPr>
      <w:r>
        <w:t>Scale: 1,290 rows is enough to validate the pipeline and catch leakage, not enough for a final field claim.</w:t>
      </w:r>
    </w:p>
    <w:p>
      <w:r>
        <w:br w:type="page"/>
      </w:r>
    </w:p>
    <w:p>
      <w:pPr>
        <w:pStyle w:val="Heading1"/>
      </w:pPr>
      <w:r>
        <w:t>4. Preprocessing and Feature Engineering</w:t>
      </w:r>
    </w:p>
    <w:p>
      <w:pPr>
        <w:pStyle w:val="Heading2"/>
      </w:pPr>
      <w:r>
        <w:t>4.1 Text normalisation</w:t>
      </w:r>
    </w:p>
    <w:p>
      <w:pPr>
        <w:spacing w:after="120"/>
        <w:jc w:val="both"/>
      </w:pPr>
      <w:r>
        <w:rPr>
          <w:rFonts w:ascii="Times New Roman" w:hAnsi="Times New Roman"/>
          <w:i w:val="0"/>
          <w:sz w:val="22"/>
        </w:rPr>
        <w:t>The normalisation pipeline applies Unicode NFKD decomposition, removes zero-width characters, maps common Cyrillic and Greek homoglyphs to their ASCII counterparts, de-obfuscates common leetspeak forms such as 'l0gin' and 'p@ssword', masks URLs with a URL token for the classifier, lowercases the text, and collapses whitespace. The rule layer receives the original text and the extracted URLs, so masking does not hide link structure from the safe URL analyser.</w:t>
      </w:r>
    </w:p>
    <w:p>
      <w:pPr>
        <w:pStyle w:val="Heading2"/>
      </w:pPr>
      <w:r>
        <w:t>4.2 Model input</w:t>
      </w:r>
    </w:p>
    <w:p>
      <w:pPr>
        <w:spacing w:after="120"/>
        <w:jc w:val="both"/>
      </w:pPr>
      <w:r>
        <w:rPr>
          <w:rFonts w:ascii="Times New Roman" w:hAnsi="Times New Roman"/>
          <w:i w:val="0"/>
          <w:sz w:val="22"/>
        </w:rPr>
        <w:t>The model input is the subject line followed by the message body. The subject often carries the urgency cue, and including it improved consistency between training and inference. The rule layer separately examines the body and the extracted URLs.</w:t>
      </w:r>
    </w:p>
    <w:p>
      <w:pPr>
        <w:pStyle w:val="Heading2"/>
      </w:pPr>
      <w:r>
        <w:t>4.3 Feature extraction</w:t>
      </w:r>
    </w:p>
    <w:p>
      <w:pPr>
        <w:spacing w:after="120"/>
        <w:jc w:val="both"/>
      </w:pPr>
      <w:r>
        <w:rPr>
          <w:rFonts w:ascii="Times New Roman" w:hAnsi="Times New Roman"/>
          <w:i w:val="0"/>
          <w:sz w:val="22"/>
        </w:rPr>
        <w:t>The core representation combines word n-grams (1–2) and character n-grams (3–5, word-boundary aware). Word n-grams capture phrases such as 'account will be suspended'; character n-grams provide robustness to obfuscation, morphology, and unseen spellings. Both blocks use sublinear term frequency and are limited to 2,500 features each. The baseline uses word n-grams only, with 3,000 features, so that the contribution of the character block can be observed.</w:t>
      </w:r>
    </w:p>
    <w:p>
      <w:pPr>
        <w:pStyle w:val="Heading2"/>
      </w:pPr>
      <w:r>
        <w:t>4.4 Training configuration</w:t>
      </w:r>
    </w:p>
    <w:p>
      <w:pPr>
        <w:keepNext/>
        <w:spacing w:before="200" w:after="80"/>
      </w:pPr>
      <w:r>
        <w:rPr>
          <w:rFonts w:ascii="Times New Roman" w:hAnsi="Times New Roman"/>
          <w:b/>
          <w:color w:val="1D2A24"/>
          <w:sz w:val="19"/>
        </w:rPr>
        <w:t>Table 4. Baseline and core model configuration.</w:t>
      </w:r>
    </w:p>
    <w:tbl>
      <w:tblPr>
        <w:tblStyle w:val="TableGrid"/>
        <w:tblW w:type="auto" w:w="0"/>
        <w:jc w:val="center"/>
        <w:tblLayout w:type="fixed"/>
        <w:tblLook w:firstColumn="1" w:firstRow="1" w:lastColumn="0" w:lastRow="0" w:noHBand="0" w:noVBand="1" w:val="04A0"/>
      </w:tblPr>
      <w:tblGrid>
        <w:gridCol w:w="1872"/>
        <w:gridCol w:w="3168"/>
        <w:gridCol w:w="3744"/>
      </w:tblGrid>
      <w:tr>
        <w:trPr>
          <w:cantSplit/>
          <w:tblHeader/>
        </w:trPr>
        <w:tc>
          <w:tcPr>
            <w:tcW w:type="dxa" w:w="1872"/>
            <w:shd w:val="clear" w:color="auto" w:fill="EEF1EA"/>
          </w:tcPr>
          <w:p>
            <w:pPr>
              <w:spacing w:after="20" w:before="20"/>
            </w:pPr>
            <w:r/>
            <w:r>
              <w:rPr>
                <w:rFonts w:ascii="Times New Roman" w:hAnsi="Times New Roman"/>
                <w:b/>
                <w:color w:val="1D2A24"/>
                <w:sz w:val="18"/>
              </w:rPr>
              <w:t>Component</w:t>
            </w:r>
          </w:p>
        </w:tc>
        <w:tc>
          <w:tcPr>
            <w:tcW w:type="dxa" w:w="3168"/>
            <w:shd w:val="clear" w:color="auto" w:fill="EEF1EA"/>
          </w:tcPr>
          <w:p>
            <w:pPr>
              <w:spacing w:after="20" w:before="20"/>
            </w:pPr>
            <w:r/>
            <w:r>
              <w:rPr>
                <w:rFonts w:ascii="Times New Roman" w:hAnsi="Times New Roman"/>
                <w:b/>
                <w:color w:val="1D2A24"/>
                <w:sz w:val="18"/>
              </w:rPr>
              <w:t>Baseline</w:t>
            </w:r>
          </w:p>
        </w:tc>
        <w:tc>
          <w:tcPr>
            <w:tcW w:type="dxa" w:w="3744"/>
            <w:shd w:val="clear" w:color="auto" w:fill="EEF1EA"/>
          </w:tcPr>
          <w:p>
            <w:pPr>
              <w:spacing w:after="20" w:before="20"/>
            </w:pPr>
            <w:r/>
            <w:r>
              <w:rPr>
                <w:rFonts w:ascii="Times New Roman" w:hAnsi="Times New Roman"/>
                <w:b/>
                <w:color w:val="1D2A24"/>
                <w:sz w:val="18"/>
              </w:rPr>
              <w:t>Core model</w:t>
            </w:r>
          </w:p>
        </w:tc>
      </w:tr>
      <w:tr>
        <w:trPr>
          <w:cantSplit/>
        </w:trPr>
        <w:tc>
          <w:tcPr>
            <w:tcW w:type="dxa" w:w="1872"/>
          </w:tcPr>
          <w:p>
            <w:pPr>
              <w:spacing w:after="20" w:before="20"/>
            </w:pPr>
            <w:r/>
            <w:r>
              <w:rPr>
                <w:rFonts w:ascii="Times New Roman" w:hAnsi="Times New Roman"/>
                <w:b w:val="0"/>
                <w:color w:val="1A1A1A"/>
                <w:sz w:val="18"/>
              </w:rPr>
              <w:t>Features</w:t>
            </w:r>
          </w:p>
        </w:tc>
        <w:tc>
          <w:tcPr>
            <w:tcW w:type="dxa" w:w="3168"/>
          </w:tcPr>
          <w:p>
            <w:pPr>
              <w:spacing w:after="20" w:before="20"/>
            </w:pPr>
            <w:r/>
            <w:r>
              <w:rPr>
                <w:rFonts w:ascii="Times New Roman" w:hAnsi="Times New Roman"/>
                <w:b w:val="0"/>
                <w:color w:val="1A1A1A"/>
                <w:sz w:val="18"/>
              </w:rPr>
              <w:t>Word TF-IDF (1–2), 3,000 features</w:t>
            </w:r>
          </w:p>
        </w:tc>
        <w:tc>
          <w:tcPr>
            <w:tcW w:type="dxa" w:w="3744"/>
          </w:tcPr>
          <w:p>
            <w:pPr>
              <w:spacing w:after="20" w:before="20"/>
            </w:pPr>
            <w:r/>
            <w:r>
              <w:rPr>
                <w:rFonts w:ascii="Times New Roman" w:hAnsi="Times New Roman"/>
                <w:b w:val="0"/>
                <w:color w:val="1A1A1A"/>
                <w:sz w:val="18"/>
              </w:rPr>
              <w:t>Word TF-IDF (1–2) + character TF-IDF (3–5), 2,500 each</w:t>
            </w:r>
          </w:p>
        </w:tc>
      </w:tr>
      <w:tr>
        <w:trPr>
          <w:cantSplit/>
        </w:trPr>
        <w:tc>
          <w:tcPr>
            <w:tcW w:type="dxa" w:w="1872"/>
          </w:tcPr>
          <w:p>
            <w:pPr>
              <w:spacing w:after="20" w:before="20"/>
            </w:pPr>
            <w:r/>
            <w:r>
              <w:rPr>
                <w:rFonts w:ascii="Times New Roman" w:hAnsi="Times New Roman"/>
                <w:b w:val="0"/>
                <w:color w:val="1A1A1A"/>
                <w:sz w:val="18"/>
              </w:rPr>
              <w:t>Classifier</w:t>
            </w:r>
          </w:p>
        </w:tc>
        <w:tc>
          <w:tcPr>
            <w:tcW w:type="dxa" w:w="3168"/>
          </w:tcPr>
          <w:p>
            <w:pPr>
              <w:spacing w:after="20" w:before="20"/>
            </w:pPr>
            <w:r/>
            <w:r>
              <w:rPr>
                <w:rFonts w:ascii="Times New Roman" w:hAnsi="Times New Roman"/>
                <w:b w:val="0"/>
                <w:color w:val="1A1A1A"/>
                <w:sz w:val="18"/>
              </w:rPr>
              <w:t>Multinomial Naive Bayes, alpha = 0.5</w:t>
            </w:r>
          </w:p>
        </w:tc>
        <w:tc>
          <w:tcPr>
            <w:tcW w:type="dxa" w:w="3744"/>
          </w:tcPr>
          <w:p>
            <w:pPr>
              <w:spacing w:after="20" w:before="20"/>
            </w:pPr>
            <w:r/>
            <w:r>
              <w:rPr>
                <w:rFonts w:ascii="Times New Roman" w:hAnsi="Times New Roman"/>
                <w:b w:val="0"/>
                <w:color w:val="1A1A1A"/>
                <w:sz w:val="18"/>
              </w:rPr>
              <w:t>Logistic Regression, C = 2.0, max_iter = 1,000, class_weight = balanced</w:t>
            </w:r>
          </w:p>
        </w:tc>
      </w:tr>
      <w:tr>
        <w:trPr>
          <w:cantSplit/>
        </w:trPr>
        <w:tc>
          <w:tcPr>
            <w:tcW w:type="dxa" w:w="1872"/>
          </w:tcPr>
          <w:p>
            <w:pPr>
              <w:spacing w:after="20" w:before="20"/>
            </w:pPr>
            <w:r/>
            <w:r>
              <w:rPr>
                <w:rFonts w:ascii="Times New Roman" w:hAnsi="Times New Roman"/>
                <w:b w:val="0"/>
                <w:color w:val="1A1A1A"/>
                <w:sz w:val="18"/>
              </w:rPr>
              <w:t>Decision threshold</w:t>
            </w:r>
          </w:p>
        </w:tc>
        <w:tc>
          <w:tcPr>
            <w:tcW w:type="dxa" w:w="3168"/>
          </w:tcPr>
          <w:p>
            <w:pPr>
              <w:spacing w:after="20" w:before="20"/>
            </w:pPr>
            <w:r/>
            <w:r>
              <w:rPr>
                <w:rFonts w:ascii="Times New Roman" w:hAnsi="Times New Roman"/>
                <w:b w:val="0"/>
                <w:color w:val="1A1A1A"/>
                <w:sz w:val="18"/>
              </w:rPr>
              <w:t>0.50</w:t>
            </w:r>
          </w:p>
        </w:tc>
        <w:tc>
          <w:tcPr>
            <w:tcW w:type="dxa" w:w="3744"/>
          </w:tcPr>
          <w:p>
            <w:pPr>
              <w:spacing w:after="20" w:before="20"/>
            </w:pPr>
            <w:r/>
            <w:r>
              <w:rPr>
                <w:rFonts w:ascii="Times New Roman" w:hAnsi="Times New Roman"/>
                <w:b w:val="0"/>
                <w:color w:val="1A1A1A"/>
                <w:sz w:val="18"/>
              </w:rPr>
              <w:t>0.50, selected on validation F1 over 0.35–0.70</w:t>
            </w:r>
          </w:p>
        </w:tc>
      </w:tr>
      <w:tr>
        <w:trPr>
          <w:cantSplit/>
        </w:trPr>
        <w:tc>
          <w:tcPr>
            <w:tcW w:type="dxa" w:w="1872"/>
          </w:tcPr>
          <w:p>
            <w:pPr>
              <w:spacing w:after="20" w:before="20"/>
            </w:pPr>
            <w:r/>
            <w:r>
              <w:rPr>
                <w:rFonts w:ascii="Times New Roman" w:hAnsi="Times New Roman"/>
                <w:b w:val="0"/>
                <w:color w:val="1A1A1A"/>
                <w:sz w:val="18"/>
              </w:rPr>
              <w:t>Random seed</w:t>
            </w:r>
          </w:p>
        </w:tc>
        <w:tc>
          <w:tcPr>
            <w:tcW w:type="dxa" w:w="3168"/>
          </w:tcPr>
          <w:p>
            <w:pPr>
              <w:spacing w:after="20" w:before="20"/>
            </w:pPr>
            <w:r/>
            <w:r>
              <w:rPr>
                <w:rFonts w:ascii="Times New Roman" w:hAnsi="Times New Roman"/>
                <w:b w:val="0"/>
                <w:color w:val="1A1A1A"/>
                <w:sz w:val="18"/>
              </w:rPr>
              <w:t>42</w:t>
            </w:r>
          </w:p>
        </w:tc>
        <w:tc>
          <w:tcPr>
            <w:tcW w:type="dxa" w:w="3744"/>
          </w:tcPr>
          <w:p>
            <w:pPr>
              <w:spacing w:after="20" w:before="20"/>
            </w:pPr>
            <w:r/>
            <w:r>
              <w:rPr>
                <w:rFonts w:ascii="Times New Roman" w:hAnsi="Times New Roman"/>
                <w:b w:val="0"/>
                <w:color w:val="1A1A1A"/>
                <w:sz w:val="18"/>
              </w:rPr>
              <w:t>42</w:t>
            </w:r>
          </w:p>
        </w:tc>
      </w:tr>
      <w:tr>
        <w:trPr>
          <w:cantSplit/>
        </w:trPr>
        <w:tc>
          <w:tcPr>
            <w:tcW w:type="dxa" w:w="1872"/>
          </w:tcPr>
          <w:p>
            <w:pPr>
              <w:spacing w:after="20" w:before="20"/>
            </w:pPr>
            <w:r/>
            <w:r>
              <w:rPr>
                <w:rFonts w:ascii="Times New Roman" w:hAnsi="Times New Roman"/>
                <w:b w:val="0"/>
                <w:color w:val="1A1A1A"/>
                <w:sz w:val="18"/>
              </w:rPr>
              <w:t>scikit-learn</w:t>
            </w:r>
          </w:p>
        </w:tc>
        <w:tc>
          <w:tcPr>
            <w:tcW w:type="dxa" w:w="3168"/>
          </w:tcPr>
          <w:p>
            <w:pPr>
              <w:spacing w:after="20" w:before="20"/>
            </w:pPr>
            <w:r/>
            <w:r>
              <w:rPr>
                <w:rFonts w:ascii="Times New Roman" w:hAnsi="Times New Roman"/>
                <w:b w:val="0"/>
                <w:color w:val="1A1A1A"/>
                <w:sz w:val="18"/>
              </w:rPr>
              <w:t>1.6.1</w:t>
            </w:r>
          </w:p>
        </w:tc>
        <w:tc>
          <w:tcPr>
            <w:tcW w:type="dxa" w:w="3744"/>
          </w:tcPr>
          <w:p>
            <w:pPr>
              <w:spacing w:after="20" w:before="20"/>
            </w:pPr>
            <w:r/>
            <w:r>
              <w:rPr>
                <w:rFonts w:ascii="Times New Roman" w:hAnsi="Times New Roman"/>
                <w:b w:val="0"/>
                <w:color w:val="1A1A1A"/>
                <w:sz w:val="18"/>
              </w:rPr>
              <w:t>1.6.1</w:t>
            </w:r>
          </w:p>
        </w:tc>
      </w:tr>
    </w:tbl>
    <w:p>
      <w:pPr>
        <w:pStyle w:val="Heading1"/>
      </w:pPr>
      <w:r>
        <w:t>5. Model Development and Training</w:t>
      </w:r>
    </w:p>
    <w:p>
      <w:pPr>
        <w:pStyle w:val="Heading2"/>
      </w:pPr>
      <w:r>
        <w:t>5.1 Baseline</w:t>
      </w:r>
    </w:p>
    <w:p>
      <w:pPr>
        <w:spacing w:after="120"/>
        <w:jc w:val="both"/>
      </w:pPr>
      <w:r>
        <w:rPr>
          <w:rFonts w:ascii="Times New Roman" w:hAnsi="Times New Roman"/>
          <w:i w:val="0"/>
          <w:sz w:val="22"/>
        </w:rPr>
        <w:t>The baseline is a TF-IDF vectoriser with word n-grams (1–2) and 3,000 features, followed by Multinomial Naive Bayes with alpha = 0.5. It is deliberately simple and fast; its role is to establish what a conventional bag-of-words approach can achieve on the same split, not to be the final model.</w:t>
      </w:r>
    </w:p>
    <w:p>
      <w:pPr>
        <w:pStyle w:val="Heading2"/>
      </w:pPr>
      <w:r>
        <w:t>5.2 Core model</w:t>
      </w:r>
    </w:p>
    <w:p>
      <w:pPr>
        <w:spacing w:after="120"/>
        <w:jc w:val="both"/>
      </w:pPr>
      <w:r>
        <w:rPr>
          <w:rFonts w:ascii="Times New Roman" w:hAnsi="Times New Roman"/>
          <w:i w:val="0"/>
          <w:sz w:val="22"/>
        </w:rPr>
        <w:t>The core model uses a FeatureUnion of word and character TF-IDF blocks and a logistic regression classifier. The classifier uses C = 2.0, a maximum of 1,000 iterations, balanced class weights, and a fixed random seed. The coefficients are retained so that the explanation layer can rank the terms that pushed a message toward phishing. The model is trained only on the 886 training rows; the validation rows are used for threshold selection and the test rows are untouched until evaluation.</w:t>
      </w:r>
    </w:p>
    <w:p>
      <w:pPr>
        <w:pStyle w:val="Heading2"/>
      </w:pPr>
      <w:r>
        <w:t>5.3 Threshold selection</w:t>
      </w:r>
    </w:p>
    <w:p>
      <w:pPr>
        <w:spacing w:after="120"/>
        <w:jc w:val="both"/>
      </w:pPr>
      <w:r>
        <w:rPr>
          <w:rFonts w:ascii="Times New Roman" w:hAnsi="Times New Roman"/>
          <w:i w:val="0"/>
          <w:sz w:val="22"/>
        </w:rPr>
        <w:t>The decision threshold was searched from 0.35 to 0.70 in steps of 0.05, using F1 on the 162-row validation set. The best threshold was 0.50. At this threshold the core model achieved 97.53% accuracy and a 97.87% F1-score on validation. The threshold is stored in the model metadata and used at inference; the evaluation script does not re-tune it on the test set.</w:t>
      </w:r>
    </w:p>
    <w:p>
      <w:pPr>
        <w:pStyle w:val="Heading2"/>
      </w:pPr>
      <w:r>
        <w:t>5.4 Artifacts and provenance</w:t>
      </w:r>
    </w:p>
    <w:p>
      <w:pPr>
        <w:spacing w:after="120"/>
        <w:jc w:val="both"/>
      </w:pPr>
      <w:r>
        <w:rPr>
          <w:rFonts w:ascii="Times New Roman" w:hAnsi="Times New Roman"/>
          <w:i w:val="0"/>
          <w:sz w:val="22"/>
        </w:rPr>
        <w:t>Training writes core_model.pkl, tfidf_vectorizer.pkl, baseline_model.pkl, baseline_vectorizer.pkl, and metadata.json. The metadata records the model type, feature configuration, threshold, validation accuracy and F1, the exact scikit-learn version, the training and validation row counts, the source counts, the training timestamp, and the SHA-256 digest of the frozen test set. The API compares the recorded scikit-learn version with the installed version and raises a clear error rather than loading an incompatible pickle. This guard was added after an earlier artifact, built with a different version, failed with an AttributeError at inference time.</w:t>
      </w:r>
    </w:p>
    <w:p>
      <w:pPr>
        <w:pStyle w:val="Heading2"/>
      </w:pPr>
      <w:r>
        <w:t>5.5 Training protocol</w:t>
      </w:r>
    </w:p>
    <w:p>
      <w:pPr>
        <w:spacing w:after="120"/>
        <w:jc w:val="both"/>
      </w:pPr>
      <w:r>
        <w:rPr>
          <w:rFonts w:ascii="Times New Roman" w:hAnsi="Times New Roman"/>
          <w:i w:val="0"/>
          <w:sz w:val="22"/>
        </w:rPr>
        <w:t>The pipeline is reproducible with six commands: fetch the sources, build the dataset, train the baseline, train the core model, evaluate, and start the server. The build script verifies the dataset hash before evaluation. The model's features, hyperparameters, and threshold were not tuned on the test set. The rule layer was developed from the brief and from error analysis; the credential-disclosure rule was refined after inspecting false positives in the constructed VIT test rows. The VIT final-label result is therefore a development result for the rules, while the model-level metrics remain a clean held-out estimate.</w:t>
      </w:r>
    </w:p>
    <w:p>
      <w:pPr>
        <w:pStyle w:val="Heading1"/>
      </w:pPr>
      <w:r>
        <w:t>6. Evaluation Methodology</w:t>
      </w:r>
    </w:p>
    <w:p>
      <w:pPr>
        <w:pStyle w:val="Heading2"/>
      </w:pPr>
      <w:r>
        <w:t>6.1 Model-level metrics</w:t>
      </w:r>
    </w:p>
    <w:p>
      <w:pPr>
        <w:spacing w:after="120"/>
        <w:jc w:val="both"/>
      </w:pPr>
      <w:r>
        <w:rPr>
          <w:rFonts w:ascii="Times New Roman" w:hAnsi="Times New Roman"/>
          <w:i w:val="0"/>
          <w:sz w:val="22"/>
        </w:rPr>
        <w:t>Phishing is treated as the positive class. Accuracy is the proportion of all test rows classified correctly. Precision is TP / (TP + FP), the proportion of flagged messages that are actually phishing. Recall is TP / (TP + FN), the proportion of phishing messages that are caught. F1 is the harmonic mean of precision and recall. The false-positive rate is FP / (FP + TN), the proportion of legitimate messages that are wrongly flagged. The confusion matrix reports TN, FP, FN, and TP directly.</w:t>
      </w:r>
    </w:p>
    <w:p>
      <w:pPr>
        <w:pStyle w:val="Heading2"/>
      </w:pPr>
      <w:r>
        <w:t>6.2 Per-source evaluation</w:t>
      </w:r>
    </w:p>
    <w:p>
      <w:pPr>
        <w:spacing w:after="120"/>
        <w:jc w:val="both"/>
      </w:pPr>
      <w:r>
        <w:rPr>
          <w:rFonts w:ascii="Times New Roman" w:hAnsi="Times New Roman"/>
          <w:i w:val="0"/>
          <w:sz w:val="22"/>
        </w:rPr>
        <w:t>Because Nazario contains only phishing and SpamAssassin contains only legitimate mail, a single aggregate number hides the source/label confound. The evaluation therefore reports per-source precision, recall, F1, and false-positive rate. Metrics that require both classes are reported as not applicable for single-class sources; the false-positive rate is still meaningful for the legitimate-only source, and recall is meaningful for the phishing-only source.</w:t>
      </w:r>
    </w:p>
    <w:p>
      <w:pPr>
        <w:pStyle w:val="Heading2"/>
      </w:pPr>
      <w:r>
        <w:t>6.3 Final-label evaluation</w:t>
      </w:r>
    </w:p>
    <w:p>
      <w:pPr>
        <w:spacing w:after="120"/>
        <w:jc w:val="both"/>
      </w:pPr>
      <w:r>
        <w:rPr>
          <w:rFonts w:ascii="Times New Roman" w:hAnsi="Times New Roman"/>
          <w:i w:val="0"/>
          <w:sz w:val="22"/>
        </w:rPr>
        <w:t>The model probability is only one component of the user-facing label. The final label combines the model with the rule signals and the composite score. A separate final-label evaluation therefore counts High Risk false positives, Suspicious false positives, Uncertain routings, and missed phishing. This distinction matters: a model can have a low threshold-level false-positive rate while the rule layer still over-flags legitimate mail.</w:t>
      </w:r>
    </w:p>
    <w:p>
      <w:pPr>
        <w:pStyle w:val="Heading2"/>
      </w:pPr>
      <w:r>
        <w:t>6.4 URL-only sanity baseline</w:t>
      </w:r>
    </w:p>
    <w:p>
      <w:pPr>
        <w:spacing w:after="120"/>
        <w:jc w:val="both"/>
      </w:pPr>
      <w:r>
        <w:rPr>
          <w:rFonts w:ascii="Times New Roman" w:hAnsi="Times New Roman"/>
          <w:i w:val="0"/>
          <w:sz w:val="22"/>
        </w:rPr>
        <w:t>A single rule, 'the message contains a URL', is evaluated as a sanity baseline. If this rule approaches the model's accuracy, the dataset is trivially separable. The rebuilt dataset was designed to defeat this shortcut, so a low value is expected and desirable.</w:t>
      </w:r>
    </w:p>
    <w:p>
      <w:pPr>
        <w:pStyle w:val="Heading2"/>
      </w:pPr>
      <w:r>
        <w:t>6.5 Reproducibility</w:t>
      </w:r>
    </w:p>
    <w:p>
      <w:pPr>
        <w:spacing w:after="120"/>
        <w:jc w:val="both"/>
      </w:pPr>
      <w:r>
        <w:rPr>
          <w:rFonts w:ascii="Times New Roman" w:hAnsi="Times New Roman"/>
          <w:i w:val="0"/>
          <w:sz w:val="22"/>
        </w:rPr>
        <w:t>The test set is frozen by SHA-256. The model metadata records the same digest, and the dataset build script exposes a --check mode that recomputes the digest and exits non-zero on drift. Evaluation reads the committed test file and the saved artifacts; it does not rebuild or retune them.</w:t>
      </w:r>
    </w:p>
    <w:p>
      <w:r>
        <w:br w:type="page"/>
      </w:r>
    </w:p>
    <w:p>
      <w:pPr>
        <w:pStyle w:val="Heading1"/>
      </w:pPr>
      <w:r>
        <w:t>7. Results</w:t>
      </w:r>
    </w:p>
    <w:p>
      <w:pPr>
        <w:pStyle w:val="Heading2"/>
      </w:pPr>
      <w:r>
        <w:t>7.1 Overall performance</w:t>
      </w:r>
    </w:p>
    <w:p>
      <w:pPr>
        <w:spacing w:after="120"/>
        <w:jc w:val="both"/>
      </w:pPr>
      <w:r>
        <w:rPr>
          <w:rFonts w:ascii="Times New Roman" w:hAnsi="Times New Roman"/>
          <w:i w:val="0"/>
          <w:sz w:val="22"/>
        </w:rPr>
        <w:t>Table 5 reports the overall performance on the 242-row frozen test set, which contains 153 legitimate messages and 89 phishing messages. The core model improves accuracy, precision, F1, and the false-positive rate relative to the baseline. The baseline has higher recall: it catches 85 of 89 phishing messages, while the core model catches 82. This is a precision–recall trade-off rather than a uniform improvement.</w:t>
      </w:r>
    </w:p>
    <w:p>
      <w:pPr>
        <w:keepNext/>
        <w:spacing w:before="200" w:after="80"/>
      </w:pPr>
      <w:r>
        <w:rPr>
          <w:rFonts w:ascii="Times New Roman" w:hAnsi="Times New Roman"/>
          <w:b/>
          <w:color w:val="1D2A24"/>
          <w:sz w:val="19"/>
        </w:rPr>
        <w:t>Table 5. Overall test performance on the frozen 242-row test set.</w:t>
      </w:r>
    </w:p>
    <w:tbl>
      <w:tblPr>
        <w:tblStyle w:val="TableGrid"/>
        <w:tblW w:type="auto" w:w="0"/>
        <w:jc w:val="center"/>
        <w:tblLayout w:type="fixed"/>
        <w:tblLook w:firstColumn="1" w:firstRow="1" w:lastColumn="0" w:lastRow="0" w:noHBand="0" w:noVBand="1" w:val="04A0"/>
      </w:tblPr>
      <w:tblGrid>
        <w:gridCol w:w="2160"/>
        <w:gridCol w:w="3384"/>
        <w:gridCol w:w="3384"/>
      </w:tblGrid>
      <w:tr>
        <w:trPr>
          <w:cantSplit/>
          <w:tblHeader/>
        </w:trPr>
        <w:tc>
          <w:tcPr>
            <w:tcW w:type="dxa" w:w="2160"/>
            <w:shd w:val="clear" w:color="auto" w:fill="EEF1EA"/>
          </w:tcPr>
          <w:p>
            <w:pPr>
              <w:spacing w:after="20" w:before="20"/>
            </w:pPr>
            <w:r/>
            <w:r>
              <w:rPr>
                <w:rFonts w:ascii="Times New Roman" w:hAnsi="Times New Roman"/>
                <w:b/>
                <w:color w:val="1D2A24"/>
                <w:sz w:val="18"/>
              </w:rPr>
              <w:t>Metric</w:t>
            </w:r>
          </w:p>
        </w:tc>
        <w:tc>
          <w:tcPr>
            <w:tcW w:type="dxa" w:w="3384"/>
            <w:shd w:val="clear" w:color="auto" w:fill="EEF1EA"/>
          </w:tcPr>
          <w:p>
            <w:pPr>
              <w:spacing w:after="20" w:before="20"/>
            </w:pPr>
            <w:r/>
            <w:r>
              <w:rPr>
                <w:rFonts w:ascii="Times New Roman" w:hAnsi="Times New Roman"/>
                <w:b/>
                <w:color w:val="1D2A24"/>
                <w:sz w:val="18"/>
              </w:rPr>
              <w:t>Baseline (TF-IDF + Naive Bayes)</w:t>
            </w:r>
          </w:p>
        </w:tc>
        <w:tc>
          <w:tcPr>
            <w:tcW w:type="dxa" w:w="3384"/>
            <w:shd w:val="clear" w:color="auto" w:fill="EEF1EA"/>
          </w:tcPr>
          <w:p>
            <w:pPr>
              <w:spacing w:after="20" w:before="20"/>
            </w:pPr>
            <w:r/>
            <w:r>
              <w:rPr>
                <w:rFonts w:ascii="Times New Roman" w:hAnsi="Times New Roman"/>
                <w:b/>
                <w:color w:val="1D2A24"/>
                <w:sz w:val="18"/>
              </w:rPr>
              <w:t>Core model (TF-IDF + Logistic Regression)</w:t>
            </w:r>
          </w:p>
        </w:tc>
      </w:tr>
      <w:tr>
        <w:trPr>
          <w:cantSplit/>
        </w:trPr>
        <w:tc>
          <w:tcPr>
            <w:tcW w:type="dxa" w:w="2160"/>
          </w:tcPr>
          <w:p>
            <w:pPr>
              <w:spacing w:after="20" w:before="20"/>
            </w:pPr>
            <w:r/>
            <w:r>
              <w:rPr>
                <w:rFonts w:ascii="Times New Roman" w:hAnsi="Times New Roman"/>
                <w:b w:val="0"/>
                <w:color w:val="1A1A1A"/>
                <w:sz w:val="18"/>
              </w:rPr>
              <w:t>Accuracy</w:t>
            </w:r>
          </w:p>
        </w:tc>
        <w:tc>
          <w:tcPr>
            <w:tcW w:type="dxa" w:w="3384"/>
          </w:tcPr>
          <w:p>
            <w:pPr>
              <w:spacing w:after="20" w:before="20"/>
            </w:pPr>
            <w:r/>
            <w:r>
              <w:rPr>
                <w:rFonts w:ascii="Times New Roman" w:hAnsi="Times New Roman"/>
                <w:b w:val="0"/>
                <w:color w:val="1A1A1A"/>
                <w:sz w:val="18"/>
              </w:rPr>
              <w:t>0.9298 (92.98%)</w:t>
            </w:r>
          </w:p>
        </w:tc>
        <w:tc>
          <w:tcPr>
            <w:tcW w:type="dxa" w:w="3384"/>
          </w:tcPr>
          <w:p>
            <w:pPr>
              <w:spacing w:after="20" w:before="20"/>
            </w:pPr>
            <w:r/>
            <w:r>
              <w:rPr>
                <w:rFonts w:ascii="Times New Roman" w:hAnsi="Times New Roman"/>
                <w:b w:val="0"/>
                <w:color w:val="1A1A1A"/>
                <w:sz w:val="18"/>
              </w:rPr>
              <w:t>0.9545 (95.45%)</w:t>
            </w:r>
          </w:p>
        </w:tc>
      </w:tr>
      <w:tr>
        <w:trPr>
          <w:cantSplit/>
        </w:trPr>
        <w:tc>
          <w:tcPr>
            <w:tcW w:type="dxa" w:w="2160"/>
          </w:tcPr>
          <w:p>
            <w:pPr>
              <w:spacing w:after="20" w:before="20"/>
            </w:pPr>
            <w:r/>
            <w:r>
              <w:rPr>
                <w:rFonts w:ascii="Times New Roman" w:hAnsi="Times New Roman"/>
                <w:b w:val="0"/>
                <w:color w:val="1A1A1A"/>
                <w:sz w:val="18"/>
              </w:rPr>
              <w:t>Precision</w:t>
            </w:r>
          </w:p>
        </w:tc>
        <w:tc>
          <w:tcPr>
            <w:tcW w:type="dxa" w:w="3384"/>
          </w:tcPr>
          <w:p>
            <w:pPr>
              <w:spacing w:after="20" w:before="20"/>
            </w:pPr>
            <w:r/>
            <w:r>
              <w:rPr>
                <w:rFonts w:ascii="Times New Roman" w:hAnsi="Times New Roman"/>
                <w:b w:val="0"/>
                <w:color w:val="1A1A1A"/>
                <w:sz w:val="18"/>
              </w:rPr>
              <w:t>0.8673 (86.73%)</w:t>
            </w:r>
          </w:p>
        </w:tc>
        <w:tc>
          <w:tcPr>
            <w:tcW w:type="dxa" w:w="3384"/>
          </w:tcPr>
          <w:p>
            <w:pPr>
              <w:spacing w:after="20" w:before="20"/>
            </w:pPr>
            <w:r/>
            <w:r>
              <w:rPr>
                <w:rFonts w:ascii="Times New Roman" w:hAnsi="Times New Roman"/>
                <w:b w:val="0"/>
                <w:color w:val="1A1A1A"/>
                <w:sz w:val="18"/>
              </w:rPr>
              <w:t>0.9535 (95.35%)</w:t>
            </w:r>
          </w:p>
        </w:tc>
      </w:tr>
      <w:tr>
        <w:trPr>
          <w:cantSplit/>
        </w:trPr>
        <w:tc>
          <w:tcPr>
            <w:tcW w:type="dxa" w:w="2160"/>
          </w:tcPr>
          <w:p>
            <w:pPr>
              <w:spacing w:after="20" w:before="20"/>
            </w:pPr>
            <w:r/>
            <w:r>
              <w:rPr>
                <w:rFonts w:ascii="Times New Roman" w:hAnsi="Times New Roman"/>
                <w:b w:val="0"/>
                <w:color w:val="1A1A1A"/>
                <w:sz w:val="18"/>
              </w:rPr>
              <w:t>Recall</w:t>
            </w:r>
          </w:p>
        </w:tc>
        <w:tc>
          <w:tcPr>
            <w:tcW w:type="dxa" w:w="3384"/>
          </w:tcPr>
          <w:p>
            <w:pPr>
              <w:spacing w:after="20" w:before="20"/>
            </w:pPr>
            <w:r/>
            <w:r>
              <w:rPr>
                <w:rFonts w:ascii="Times New Roman" w:hAnsi="Times New Roman"/>
                <w:b w:val="0"/>
                <w:color w:val="1A1A1A"/>
                <w:sz w:val="18"/>
              </w:rPr>
              <w:t>0.9551 (95.51%)</w:t>
            </w:r>
          </w:p>
        </w:tc>
        <w:tc>
          <w:tcPr>
            <w:tcW w:type="dxa" w:w="3384"/>
          </w:tcPr>
          <w:p>
            <w:pPr>
              <w:spacing w:after="20" w:before="20"/>
            </w:pPr>
            <w:r/>
            <w:r>
              <w:rPr>
                <w:rFonts w:ascii="Times New Roman" w:hAnsi="Times New Roman"/>
                <w:b w:val="0"/>
                <w:color w:val="1A1A1A"/>
                <w:sz w:val="18"/>
              </w:rPr>
              <w:t>0.9213 (92.13%)</w:t>
            </w:r>
          </w:p>
        </w:tc>
      </w:tr>
      <w:tr>
        <w:trPr>
          <w:cantSplit/>
        </w:trPr>
        <w:tc>
          <w:tcPr>
            <w:tcW w:type="dxa" w:w="2160"/>
          </w:tcPr>
          <w:p>
            <w:pPr>
              <w:spacing w:after="20" w:before="20"/>
            </w:pPr>
            <w:r/>
            <w:r>
              <w:rPr>
                <w:rFonts w:ascii="Times New Roman" w:hAnsi="Times New Roman"/>
                <w:b w:val="0"/>
                <w:color w:val="1A1A1A"/>
                <w:sz w:val="18"/>
              </w:rPr>
              <w:t>F1-score</w:t>
            </w:r>
          </w:p>
        </w:tc>
        <w:tc>
          <w:tcPr>
            <w:tcW w:type="dxa" w:w="3384"/>
          </w:tcPr>
          <w:p>
            <w:pPr>
              <w:spacing w:after="20" w:before="20"/>
            </w:pPr>
            <w:r/>
            <w:r>
              <w:rPr>
                <w:rFonts w:ascii="Times New Roman" w:hAnsi="Times New Roman"/>
                <w:b w:val="0"/>
                <w:color w:val="1A1A1A"/>
                <w:sz w:val="18"/>
              </w:rPr>
              <w:t>0.9091 (90.91%)</w:t>
            </w:r>
          </w:p>
        </w:tc>
        <w:tc>
          <w:tcPr>
            <w:tcW w:type="dxa" w:w="3384"/>
          </w:tcPr>
          <w:p>
            <w:pPr>
              <w:spacing w:after="20" w:before="20"/>
            </w:pPr>
            <w:r/>
            <w:r>
              <w:rPr>
                <w:rFonts w:ascii="Times New Roman" w:hAnsi="Times New Roman"/>
                <w:b w:val="0"/>
                <w:color w:val="1A1A1A"/>
                <w:sz w:val="18"/>
              </w:rPr>
              <w:t>0.9371 (93.71%)</w:t>
            </w:r>
          </w:p>
        </w:tc>
      </w:tr>
      <w:tr>
        <w:trPr>
          <w:cantSplit/>
        </w:trPr>
        <w:tc>
          <w:tcPr>
            <w:tcW w:type="dxa" w:w="2160"/>
          </w:tcPr>
          <w:p>
            <w:pPr>
              <w:spacing w:after="20" w:before="20"/>
            </w:pPr>
            <w:r/>
            <w:r>
              <w:rPr>
                <w:rFonts w:ascii="Times New Roman" w:hAnsi="Times New Roman"/>
                <w:b w:val="0"/>
                <w:color w:val="1A1A1A"/>
                <w:sz w:val="18"/>
              </w:rPr>
              <w:t>False-positive rate</w:t>
            </w:r>
          </w:p>
        </w:tc>
        <w:tc>
          <w:tcPr>
            <w:tcW w:type="dxa" w:w="3384"/>
          </w:tcPr>
          <w:p>
            <w:pPr>
              <w:spacing w:after="20" w:before="20"/>
            </w:pPr>
            <w:r/>
            <w:r>
              <w:rPr>
                <w:rFonts w:ascii="Times New Roman" w:hAnsi="Times New Roman"/>
                <w:b w:val="0"/>
                <w:color w:val="1A1A1A"/>
                <w:sz w:val="18"/>
              </w:rPr>
              <w:t>0.0850 (8.50%)</w:t>
            </w:r>
          </w:p>
        </w:tc>
        <w:tc>
          <w:tcPr>
            <w:tcW w:type="dxa" w:w="3384"/>
          </w:tcPr>
          <w:p>
            <w:pPr>
              <w:spacing w:after="20" w:before="20"/>
            </w:pPr>
            <w:r/>
            <w:r>
              <w:rPr>
                <w:rFonts w:ascii="Times New Roman" w:hAnsi="Times New Roman"/>
                <w:b w:val="0"/>
                <w:color w:val="1A1A1A"/>
                <w:sz w:val="18"/>
              </w:rPr>
              <w:t>0.0261 (2.61%)</w:t>
            </w:r>
          </w:p>
        </w:tc>
      </w:tr>
    </w:tbl>
    <w:p>
      <w:pPr>
        <w:pStyle w:val="Heading2"/>
      </w:pPr>
      <w:r>
        <w:t>7.2 Confusion matrices</w:t>
      </w:r>
    </w:p>
    <w:p>
      <w:pPr>
        <w:spacing w:after="120"/>
        <w:jc w:val="both"/>
      </w:pPr>
      <w:r>
        <w:rPr>
          <w:rFonts w:ascii="Times New Roman" w:hAnsi="Times New Roman"/>
          <w:i w:val="0"/>
          <w:sz w:val="22"/>
        </w:rPr>
        <w:t>The core model correctly identifies 149 legitimate messages and 82 phishing messages. It produces 4 false positives and 7 false negatives. The baseline produces 140 true negatives, 13 false positives, 4 false negatives, and 85 true positives.</w:t>
      </w:r>
    </w:p>
    <w:p>
      <w:pPr>
        <w:keepNext/>
        <w:spacing w:before="200" w:after="80"/>
      </w:pPr>
      <w:r>
        <w:rPr>
          <w:rFonts w:ascii="Times New Roman" w:hAnsi="Times New Roman"/>
          <w:b/>
          <w:color w:val="1D2A24"/>
          <w:sz w:val="19"/>
        </w:rPr>
        <w:t>Table 6. Core model confusion matrix (rows = actual, columns = predicted).</w:t>
      </w:r>
    </w:p>
    <w:tbl>
      <w:tblPr>
        <w:tblStyle w:val="TableGrid"/>
        <w:tblW w:type="auto" w:w="0"/>
        <w:jc w:val="center"/>
        <w:tblLayout w:type="fixed"/>
        <w:tblLook w:firstColumn="1" w:firstRow="1" w:lastColumn="0" w:lastRow="0" w:noHBand="0" w:noVBand="1" w:val="04A0"/>
      </w:tblPr>
      <w:tblGrid>
        <w:gridCol w:w="2592"/>
        <w:gridCol w:w="3168"/>
        <w:gridCol w:w="3168"/>
      </w:tblGrid>
      <w:tr>
        <w:trPr>
          <w:cantSplit/>
          <w:tblHeader/>
        </w:trPr>
        <w:tc>
          <w:tcPr>
            <w:tcW w:type="dxa" w:w="2592"/>
            <w:shd w:val="clear" w:color="auto" w:fill="EEF1EA"/>
          </w:tcPr>
          <w:p>
            <w:pPr>
              <w:spacing w:after="20" w:before="20"/>
            </w:pPr>
            <w:r/>
            <w:r>
              <w:rPr>
                <w:rFonts w:ascii="Times New Roman" w:hAnsi="Times New Roman"/>
                <w:b/>
                <w:color w:val="1D2A24"/>
                <w:sz w:val="18"/>
              </w:rPr>
            </w:r>
          </w:p>
        </w:tc>
        <w:tc>
          <w:tcPr>
            <w:tcW w:type="dxa" w:w="3168"/>
            <w:shd w:val="clear" w:color="auto" w:fill="EEF1EA"/>
          </w:tcPr>
          <w:p>
            <w:pPr>
              <w:spacing w:after="20" w:before="20"/>
            </w:pPr>
            <w:r/>
            <w:r>
              <w:rPr>
                <w:rFonts w:ascii="Times New Roman" w:hAnsi="Times New Roman"/>
                <w:b/>
                <w:color w:val="1D2A24"/>
                <w:sz w:val="18"/>
              </w:rPr>
              <w:t>Predicted legitimate</w:t>
            </w:r>
          </w:p>
        </w:tc>
        <w:tc>
          <w:tcPr>
            <w:tcW w:type="dxa" w:w="3168"/>
            <w:shd w:val="clear" w:color="auto" w:fill="EEF1EA"/>
          </w:tcPr>
          <w:p>
            <w:pPr>
              <w:spacing w:after="20" w:before="20"/>
            </w:pPr>
            <w:r/>
            <w:r>
              <w:rPr>
                <w:rFonts w:ascii="Times New Roman" w:hAnsi="Times New Roman"/>
                <w:b/>
                <w:color w:val="1D2A24"/>
                <w:sz w:val="18"/>
              </w:rPr>
              <w:t>Predicted phishing</w:t>
            </w:r>
          </w:p>
        </w:tc>
      </w:tr>
      <w:tr>
        <w:trPr>
          <w:cantSplit/>
        </w:trPr>
        <w:tc>
          <w:tcPr>
            <w:tcW w:type="dxa" w:w="2592"/>
          </w:tcPr>
          <w:p>
            <w:pPr>
              <w:spacing w:after="20" w:before="20"/>
            </w:pPr>
            <w:r/>
            <w:r>
              <w:rPr>
                <w:rFonts w:ascii="Times New Roman" w:hAnsi="Times New Roman"/>
                <w:b w:val="0"/>
                <w:color w:val="1A1A1A"/>
                <w:sz w:val="18"/>
              </w:rPr>
              <w:t>Actual legitimate</w:t>
            </w:r>
          </w:p>
        </w:tc>
        <w:tc>
          <w:tcPr>
            <w:tcW w:type="dxa" w:w="3168"/>
          </w:tcPr>
          <w:p>
            <w:pPr>
              <w:spacing w:after="20" w:before="20"/>
            </w:pPr>
            <w:r/>
            <w:r>
              <w:rPr>
                <w:rFonts w:ascii="Times New Roman" w:hAnsi="Times New Roman"/>
                <w:b w:val="0"/>
                <w:color w:val="1A1A1A"/>
                <w:sz w:val="18"/>
              </w:rPr>
              <w:t>149 (TN)</w:t>
            </w:r>
          </w:p>
        </w:tc>
        <w:tc>
          <w:tcPr>
            <w:tcW w:type="dxa" w:w="3168"/>
          </w:tcPr>
          <w:p>
            <w:pPr>
              <w:spacing w:after="20" w:before="20"/>
            </w:pPr>
            <w:r/>
            <w:r>
              <w:rPr>
                <w:rFonts w:ascii="Times New Roman" w:hAnsi="Times New Roman"/>
                <w:b w:val="0"/>
                <w:color w:val="1A1A1A"/>
                <w:sz w:val="18"/>
              </w:rPr>
              <w:t>4 (FP)</w:t>
            </w:r>
          </w:p>
        </w:tc>
      </w:tr>
      <w:tr>
        <w:trPr>
          <w:cantSplit/>
        </w:trPr>
        <w:tc>
          <w:tcPr>
            <w:tcW w:type="dxa" w:w="2592"/>
          </w:tcPr>
          <w:p>
            <w:pPr>
              <w:spacing w:after="20" w:before="20"/>
            </w:pPr>
            <w:r/>
            <w:r>
              <w:rPr>
                <w:rFonts w:ascii="Times New Roman" w:hAnsi="Times New Roman"/>
                <w:b w:val="0"/>
                <w:color w:val="1A1A1A"/>
                <w:sz w:val="18"/>
              </w:rPr>
              <w:t>Actual phishing</w:t>
            </w:r>
          </w:p>
        </w:tc>
        <w:tc>
          <w:tcPr>
            <w:tcW w:type="dxa" w:w="3168"/>
          </w:tcPr>
          <w:p>
            <w:pPr>
              <w:spacing w:after="20" w:before="20"/>
            </w:pPr>
            <w:r/>
            <w:r>
              <w:rPr>
                <w:rFonts w:ascii="Times New Roman" w:hAnsi="Times New Roman"/>
                <w:b w:val="0"/>
                <w:color w:val="1A1A1A"/>
                <w:sz w:val="18"/>
              </w:rPr>
              <w:t>7 (FN)</w:t>
            </w:r>
          </w:p>
        </w:tc>
        <w:tc>
          <w:tcPr>
            <w:tcW w:type="dxa" w:w="3168"/>
          </w:tcPr>
          <w:p>
            <w:pPr>
              <w:spacing w:after="20" w:before="20"/>
            </w:pPr>
            <w:r/>
            <w:r>
              <w:rPr>
                <w:rFonts w:ascii="Times New Roman" w:hAnsi="Times New Roman"/>
                <w:b w:val="0"/>
                <w:color w:val="1A1A1A"/>
                <w:sz w:val="18"/>
              </w:rPr>
              <w:t>82 (TP)</w:t>
            </w:r>
          </w:p>
        </w:tc>
      </w:tr>
    </w:tbl>
    <w:p>
      <w:pPr>
        <w:keepNext/>
        <w:spacing w:before="200" w:after="80"/>
      </w:pPr>
      <w:r>
        <w:rPr>
          <w:rFonts w:ascii="Times New Roman" w:hAnsi="Times New Roman"/>
          <w:b/>
          <w:color w:val="1D2A24"/>
          <w:sz w:val="19"/>
        </w:rPr>
        <w:t>Table 7. Baseline confusion matrix (rows = actual, columns = predicted).</w:t>
      </w:r>
    </w:p>
    <w:tbl>
      <w:tblPr>
        <w:tblStyle w:val="TableGrid"/>
        <w:tblW w:type="auto" w:w="0"/>
        <w:jc w:val="center"/>
        <w:tblLayout w:type="fixed"/>
        <w:tblLook w:firstColumn="1" w:firstRow="1" w:lastColumn="0" w:lastRow="0" w:noHBand="0" w:noVBand="1" w:val="04A0"/>
      </w:tblPr>
      <w:tblGrid>
        <w:gridCol w:w="2592"/>
        <w:gridCol w:w="3168"/>
        <w:gridCol w:w="3168"/>
      </w:tblGrid>
      <w:tr>
        <w:trPr>
          <w:cantSplit/>
          <w:tblHeader/>
        </w:trPr>
        <w:tc>
          <w:tcPr>
            <w:tcW w:type="dxa" w:w="2592"/>
            <w:shd w:val="clear" w:color="auto" w:fill="EEF1EA"/>
          </w:tcPr>
          <w:p>
            <w:pPr>
              <w:spacing w:after="20" w:before="20"/>
            </w:pPr>
            <w:r/>
            <w:r>
              <w:rPr>
                <w:rFonts w:ascii="Times New Roman" w:hAnsi="Times New Roman"/>
                <w:b/>
                <w:color w:val="1D2A24"/>
                <w:sz w:val="18"/>
              </w:rPr>
            </w:r>
          </w:p>
        </w:tc>
        <w:tc>
          <w:tcPr>
            <w:tcW w:type="dxa" w:w="3168"/>
            <w:shd w:val="clear" w:color="auto" w:fill="EEF1EA"/>
          </w:tcPr>
          <w:p>
            <w:pPr>
              <w:spacing w:after="20" w:before="20"/>
            </w:pPr>
            <w:r/>
            <w:r>
              <w:rPr>
                <w:rFonts w:ascii="Times New Roman" w:hAnsi="Times New Roman"/>
                <w:b/>
                <w:color w:val="1D2A24"/>
                <w:sz w:val="18"/>
              </w:rPr>
              <w:t>Predicted legitimate</w:t>
            </w:r>
          </w:p>
        </w:tc>
        <w:tc>
          <w:tcPr>
            <w:tcW w:type="dxa" w:w="3168"/>
            <w:shd w:val="clear" w:color="auto" w:fill="EEF1EA"/>
          </w:tcPr>
          <w:p>
            <w:pPr>
              <w:spacing w:after="20" w:before="20"/>
            </w:pPr>
            <w:r/>
            <w:r>
              <w:rPr>
                <w:rFonts w:ascii="Times New Roman" w:hAnsi="Times New Roman"/>
                <w:b/>
                <w:color w:val="1D2A24"/>
                <w:sz w:val="18"/>
              </w:rPr>
              <w:t>Predicted phishing</w:t>
            </w:r>
          </w:p>
        </w:tc>
      </w:tr>
      <w:tr>
        <w:trPr>
          <w:cantSplit/>
        </w:trPr>
        <w:tc>
          <w:tcPr>
            <w:tcW w:type="dxa" w:w="2592"/>
          </w:tcPr>
          <w:p>
            <w:pPr>
              <w:spacing w:after="20" w:before="20"/>
            </w:pPr>
            <w:r/>
            <w:r>
              <w:rPr>
                <w:rFonts w:ascii="Times New Roman" w:hAnsi="Times New Roman"/>
                <w:b w:val="0"/>
                <w:color w:val="1A1A1A"/>
                <w:sz w:val="18"/>
              </w:rPr>
              <w:t>Actual legitimate</w:t>
            </w:r>
          </w:p>
        </w:tc>
        <w:tc>
          <w:tcPr>
            <w:tcW w:type="dxa" w:w="3168"/>
          </w:tcPr>
          <w:p>
            <w:pPr>
              <w:spacing w:after="20" w:before="20"/>
            </w:pPr>
            <w:r/>
            <w:r>
              <w:rPr>
                <w:rFonts w:ascii="Times New Roman" w:hAnsi="Times New Roman"/>
                <w:b w:val="0"/>
                <w:color w:val="1A1A1A"/>
                <w:sz w:val="18"/>
              </w:rPr>
              <w:t>140 (TN)</w:t>
            </w:r>
          </w:p>
        </w:tc>
        <w:tc>
          <w:tcPr>
            <w:tcW w:type="dxa" w:w="3168"/>
          </w:tcPr>
          <w:p>
            <w:pPr>
              <w:spacing w:after="20" w:before="20"/>
            </w:pPr>
            <w:r/>
            <w:r>
              <w:rPr>
                <w:rFonts w:ascii="Times New Roman" w:hAnsi="Times New Roman"/>
                <w:b w:val="0"/>
                <w:color w:val="1A1A1A"/>
                <w:sz w:val="18"/>
              </w:rPr>
              <w:t>13 (FP)</w:t>
            </w:r>
          </w:p>
        </w:tc>
      </w:tr>
      <w:tr>
        <w:trPr>
          <w:cantSplit/>
        </w:trPr>
        <w:tc>
          <w:tcPr>
            <w:tcW w:type="dxa" w:w="2592"/>
          </w:tcPr>
          <w:p>
            <w:pPr>
              <w:spacing w:after="20" w:before="20"/>
            </w:pPr>
            <w:r/>
            <w:r>
              <w:rPr>
                <w:rFonts w:ascii="Times New Roman" w:hAnsi="Times New Roman"/>
                <w:b w:val="0"/>
                <w:color w:val="1A1A1A"/>
                <w:sz w:val="18"/>
              </w:rPr>
              <w:t>Actual phishing</w:t>
            </w:r>
          </w:p>
        </w:tc>
        <w:tc>
          <w:tcPr>
            <w:tcW w:type="dxa" w:w="3168"/>
          </w:tcPr>
          <w:p>
            <w:pPr>
              <w:spacing w:after="20" w:before="20"/>
            </w:pPr>
            <w:r/>
            <w:r>
              <w:rPr>
                <w:rFonts w:ascii="Times New Roman" w:hAnsi="Times New Roman"/>
                <w:b w:val="0"/>
                <w:color w:val="1A1A1A"/>
                <w:sz w:val="18"/>
              </w:rPr>
              <w:t>4 (FN)</w:t>
            </w:r>
          </w:p>
        </w:tc>
        <w:tc>
          <w:tcPr>
            <w:tcW w:type="dxa" w:w="3168"/>
          </w:tcPr>
          <w:p>
            <w:pPr>
              <w:spacing w:after="20" w:before="20"/>
            </w:pPr>
            <w:r/>
            <w:r>
              <w:rPr>
                <w:rFonts w:ascii="Times New Roman" w:hAnsi="Times New Roman"/>
                <w:b w:val="0"/>
                <w:color w:val="1A1A1A"/>
                <w:sz w:val="18"/>
              </w:rPr>
              <w:t>85 (TP)</w:t>
            </w:r>
          </w:p>
        </w:tc>
      </w:tr>
    </w:tbl>
    <w:p>
      <w:pPr>
        <w:pStyle w:val="Heading2"/>
      </w:pPr>
      <w:r>
        <w:t>7.3 Per-source performance</w:t>
      </w:r>
    </w:p>
    <w:p>
      <w:pPr>
        <w:spacing w:after="120"/>
        <w:jc w:val="both"/>
      </w:pPr>
      <w:r>
        <w:rPr>
          <w:rFonts w:ascii="Times New Roman" w:hAnsi="Times New Roman"/>
          <w:i w:val="0"/>
          <w:sz w:val="22"/>
        </w:rPr>
        <w:t>Table 8 breaks the core model down by source. The Nazario source contains only phishing messages, so precision and F1 are meaningful but the false-positive rate is not applicable. The SpamAssassin source contains only legitimate messages, so precision, recall, and F1 are not applicable, while the false-positive rate is meaningful. The constructed VIT source contains both classes and is therefore the most informative single row.</w:t>
      </w:r>
    </w:p>
    <w:p>
      <w:pPr>
        <w:keepNext/>
        <w:spacing w:before="200" w:after="80"/>
      </w:pPr>
      <w:r>
        <w:rPr>
          <w:rFonts w:ascii="Times New Roman" w:hAnsi="Times New Roman"/>
          <w:b/>
          <w:color w:val="1D2A24"/>
          <w:sz w:val="19"/>
        </w:rPr>
        <w:t>Table 8. Core model performance by source.</w:t>
      </w:r>
    </w:p>
    <w:tbl>
      <w:tblPr>
        <w:tblStyle w:val="TableGrid"/>
        <w:tblW w:type="auto" w:w="0"/>
        <w:jc w:val="center"/>
        <w:tblLayout w:type="fixed"/>
        <w:tblLook w:firstColumn="1" w:firstRow="1" w:lastColumn="0" w:lastRow="0" w:noHBand="0" w:noVBand="1" w:val="04A0"/>
      </w:tblPr>
      <w:tblGrid>
        <w:gridCol w:w="2592"/>
        <w:gridCol w:w="720"/>
        <w:gridCol w:w="1296"/>
        <w:gridCol w:w="1152"/>
        <w:gridCol w:w="1152"/>
        <w:gridCol w:w="1440"/>
      </w:tblGrid>
      <w:tr>
        <w:trPr>
          <w:cantSplit/>
          <w:tblHeader/>
        </w:trPr>
        <w:tc>
          <w:tcPr>
            <w:tcW w:type="dxa" w:w="2592"/>
            <w:shd w:val="clear" w:color="auto" w:fill="EEF1EA"/>
          </w:tcPr>
          <w:p>
            <w:pPr>
              <w:spacing w:after="20" w:before="20"/>
            </w:pPr>
            <w:r/>
            <w:r>
              <w:rPr>
                <w:rFonts w:ascii="Times New Roman" w:hAnsi="Times New Roman"/>
                <w:b/>
                <w:color w:val="1D2A24"/>
                <w:sz w:val="18"/>
              </w:rPr>
              <w:t>Source</w:t>
            </w:r>
          </w:p>
        </w:tc>
        <w:tc>
          <w:tcPr>
            <w:tcW w:type="dxa" w:w="720"/>
            <w:shd w:val="clear" w:color="auto" w:fill="EEF1EA"/>
          </w:tcPr>
          <w:p>
            <w:pPr>
              <w:spacing w:after="20" w:before="20"/>
            </w:pPr>
            <w:r/>
            <w:r>
              <w:rPr>
                <w:rFonts w:ascii="Times New Roman" w:hAnsi="Times New Roman"/>
                <w:b/>
                <w:color w:val="1D2A24"/>
                <w:sz w:val="18"/>
              </w:rPr>
              <w:t>n</w:t>
            </w:r>
          </w:p>
        </w:tc>
        <w:tc>
          <w:tcPr>
            <w:tcW w:type="dxa" w:w="1296"/>
            <w:shd w:val="clear" w:color="auto" w:fill="EEF1EA"/>
          </w:tcPr>
          <w:p>
            <w:pPr>
              <w:spacing w:after="20" w:before="20"/>
            </w:pPr>
            <w:r/>
            <w:r>
              <w:rPr>
                <w:rFonts w:ascii="Times New Roman" w:hAnsi="Times New Roman"/>
                <w:b/>
                <w:color w:val="1D2A24"/>
                <w:sz w:val="18"/>
              </w:rPr>
              <w:t>Precision</w:t>
            </w:r>
          </w:p>
        </w:tc>
        <w:tc>
          <w:tcPr>
            <w:tcW w:type="dxa" w:w="1152"/>
            <w:shd w:val="clear" w:color="auto" w:fill="EEF1EA"/>
          </w:tcPr>
          <w:p>
            <w:pPr>
              <w:spacing w:after="20" w:before="20"/>
            </w:pPr>
            <w:r/>
            <w:r>
              <w:rPr>
                <w:rFonts w:ascii="Times New Roman" w:hAnsi="Times New Roman"/>
                <w:b/>
                <w:color w:val="1D2A24"/>
                <w:sz w:val="18"/>
              </w:rPr>
              <w:t>Recall</w:t>
            </w:r>
          </w:p>
        </w:tc>
        <w:tc>
          <w:tcPr>
            <w:tcW w:type="dxa" w:w="1152"/>
            <w:shd w:val="clear" w:color="auto" w:fill="EEF1EA"/>
          </w:tcPr>
          <w:p>
            <w:pPr>
              <w:spacing w:after="20" w:before="20"/>
            </w:pPr>
            <w:r/>
            <w:r>
              <w:rPr>
                <w:rFonts w:ascii="Times New Roman" w:hAnsi="Times New Roman"/>
                <w:b/>
                <w:color w:val="1D2A24"/>
                <w:sz w:val="18"/>
              </w:rPr>
              <w:t>F1</w:t>
            </w:r>
          </w:p>
        </w:tc>
        <w:tc>
          <w:tcPr>
            <w:tcW w:type="dxa" w:w="1440"/>
            <w:shd w:val="clear" w:color="auto" w:fill="EEF1EA"/>
          </w:tcPr>
          <w:p>
            <w:pPr>
              <w:spacing w:after="20" w:before="20"/>
            </w:pPr>
            <w:r/>
            <w:r>
              <w:rPr>
                <w:rFonts w:ascii="Times New Roman" w:hAnsi="Times New Roman"/>
                <w:b/>
                <w:color w:val="1D2A24"/>
                <w:sz w:val="18"/>
              </w:rPr>
              <w:t>False-positive rate</w:t>
            </w:r>
          </w:p>
        </w:tc>
      </w:tr>
      <w:tr>
        <w:trPr>
          <w:cantSplit/>
        </w:trPr>
        <w:tc>
          <w:tcPr>
            <w:tcW w:type="dxa" w:w="2592"/>
          </w:tcPr>
          <w:p>
            <w:pPr>
              <w:spacing w:after="20" w:before="20"/>
            </w:pPr>
            <w:r/>
            <w:r>
              <w:rPr>
                <w:rFonts w:ascii="Times New Roman" w:hAnsi="Times New Roman"/>
                <w:b w:val="0"/>
                <w:color w:val="1A1A1A"/>
                <w:sz w:val="18"/>
              </w:rPr>
              <w:t>Nazario (phishing only)</w:t>
            </w:r>
          </w:p>
        </w:tc>
        <w:tc>
          <w:tcPr>
            <w:tcW w:type="dxa" w:w="720"/>
          </w:tcPr>
          <w:p>
            <w:pPr>
              <w:spacing w:after="20" w:before="20"/>
            </w:pPr>
            <w:r/>
            <w:r>
              <w:rPr>
                <w:rFonts w:ascii="Times New Roman" w:hAnsi="Times New Roman"/>
                <w:b w:val="0"/>
                <w:color w:val="1A1A1A"/>
                <w:sz w:val="18"/>
              </w:rPr>
              <w:t>73</w:t>
            </w:r>
          </w:p>
        </w:tc>
        <w:tc>
          <w:tcPr>
            <w:tcW w:type="dxa" w:w="1296"/>
          </w:tcPr>
          <w:p>
            <w:pPr>
              <w:spacing w:after="20" w:before="20"/>
            </w:pPr>
            <w:r/>
            <w:r>
              <w:rPr>
                <w:rFonts w:ascii="Times New Roman" w:hAnsi="Times New Roman"/>
                <w:b w:val="0"/>
                <w:color w:val="1A1A1A"/>
                <w:sz w:val="18"/>
              </w:rPr>
              <w:t>1.0000</w:t>
            </w:r>
          </w:p>
        </w:tc>
        <w:tc>
          <w:tcPr>
            <w:tcW w:type="dxa" w:w="1152"/>
          </w:tcPr>
          <w:p>
            <w:pPr>
              <w:spacing w:after="20" w:before="20"/>
            </w:pPr>
            <w:r/>
            <w:r>
              <w:rPr>
                <w:rFonts w:ascii="Times New Roman" w:hAnsi="Times New Roman"/>
                <w:b w:val="0"/>
                <w:color w:val="1A1A1A"/>
                <w:sz w:val="18"/>
              </w:rPr>
              <w:t>0.9452</w:t>
            </w:r>
          </w:p>
        </w:tc>
        <w:tc>
          <w:tcPr>
            <w:tcW w:type="dxa" w:w="1152"/>
          </w:tcPr>
          <w:p>
            <w:pPr>
              <w:spacing w:after="20" w:before="20"/>
            </w:pPr>
            <w:r/>
            <w:r>
              <w:rPr>
                <w:rFonts w:ascii="Times New Roman" w:hAnsi="Times New Roman"/>
                <w:b w:val="0"/>
                <w:color w:val="1A1A1A"/>
                <w:sz w:val="18"/>
              </w:rPr>
              <w:t>0.9718</w:t>
            </w:r>
          </w:p>
        </w:tc>
        <w:tc>
          <w:tcPr>
            <w:tcW w:type="dxa" w:w="1440"/>
          </w:tcPr>
          <w:p>
            <w:pPr>
              <w:spacing w:after="20" w:before="20"/>
            </w:pPr>
            <w:r/>
            <w:r>
              <w:rPr>
                <w:rFonts w:ascii="Times New Roman" w:hAnsi="Times New Roman"/>
                <w:b w:val="0"/>
                <w:color w:val="1A1A1A"/>
                <w:sz w:val="18"/>
              </w:rPr>
              <w:t>n/a</w:t>
            </w:r>
          </w:p>
        </w:tc>
      </w:tr>
      <w:tr>
        <w:trPr>
          <w:cantSplit/>
        </w:trPr>
        <w:tc>
          <w:tcPr>
            <w:tcW w:type="dxa" w:w="2592"/>
          </w:tcPr>
          <w:p>
            <w:pPr>
              <w:spacing w:after="20" w:before="20"/>
            </w:pPr>
            <w:r/>
            <w:r>
              <w:rPr>
                <w:rFonts w:ascii="Times New Roman" w:hAnsi="Times New Roman"/>
                <w:b w:val="0"/>
                <w:color w:val="1A1A1A"/>
                <w:sz w:val="18"/>
              </w:rPr>
              <w:t>SpamAssassin (legitimate only)</w:t>
            </w:r>
          </w:p>
        </w:tc>
        <w:tc>
          <w:tcPr>
            <w:tcW w:type="dxa" w:w="720"/>
          </w:tcPr>
          <w:p>
            <w:pPr>
              <w:spacing w:after="20" w:before="20"/>
            </w:pPr>
            <w:r/>
            <w:r>
              <w:rPr>
                <w:rFonts w:ascii="Times New Roman" w:hAnsi="Times New Roman"/>
                <w:b w:val="0"/>
                <w:color w:val="1A1A1A"/>
                <w:sz w:val="18"/>
              </w:rPr>
              <w:t>135</w:t>
            </w:r>
          </w:p>
        </w:tc>
        <w:tc>
          <w:tcPr>
            <w:tcW w:type="dxa" w:w="1296"/>
          </w:tcPr>
          <w:p>
            <w:pPr>
              <w:spacing w:after="20" w:before="20"/>
            </w:pPr>
            <w:r/>
            <w:r>
              <w:rPr>
                <w:rFonts w:ascii="Times New Roman" w:hAnsi="Times New Roman"/>
                <w:b w:val="0"/>
                <w:color w:val="1A1A1A"/>
                <w:sz w:val="18"/>
              </w:rPr>
              <w:t>n/a</w:t>
            </w:r>
          </w:p>
        </w:tc>
        <w:tc>
          <w:tcPr>
            <w:tcW w:type="dxa" w:w="1152"/>
          </w:tcPr>
          <w:p>
            <w:pPr>
              <w:spacing w:after="20" w:before="20"/>
            </w:pPr>
            <w:r/>
            <w:r>
              <w:rPr>
                <w:rFonts w:ascii="Times New Roman" w:hAnsi="Times New Roman"/>
                <w:b w:val="0"/>
                <w:color w:val="1A1A1A"/>
                <w:sz w:val="18"/>
              </w:rPr>
              <w:t>n/a</w:t>
            </w:r>
          </w:p>
        </w:tc>
        <w:tc>
          <w:tcPr>
            <w:tcW w:type="dxa" w:w="1152"/>
          </w:tcPr>
          <w:p>
            <w:pPr>
              <w:spacing w:after="20" w:before="20"/>
            </w:pPr>
            <w:r/>
            <w:r>
              <w:rPr>
                <w:rFonts w:ascii="Times New Roman" w:hAnsi="Times New Roman"/>
                <w:b w:val="0"/>
                <w:color w:val="1A1A1A"/>
                <w:sz w:val="18"/>
              </w:rPr>
              <w:t>n/a</w:t>
            </w:r>
          </w:p>
        </w:tc>
        <w:tc>
          <w:tcPr>
            <w:tcW w:type="dxa" w:w="1440"/>
          </w:tcPr>
          <w:p>
            <w:pPr>
              <w:spacing w:after="20" w:before="20"/>
            </w:pPr>
            <w:r/>
            <w:r>
              <w:rPr>
                <w:rFonts w:ascii="Times New Roman" w:hAnsi="Times New Roman"/>
                <w:b w:val="0"/>
                <w:color w:val="1A1A1A"/>
                <w:sz w:val="18"/>
              </w:rPr>
              <w:t>0.0000</w:t>
            </w:r>
          </w:p>
        </w:tc>
      </w:tr>
      <w:tr>
        <w:trPr>
          <w:cantSplit/>
        </w:trPr>
        <w:tc>
          <w:tcPr>
            <w:tcW w:type="dxa" w:w="2592"/>
          </w:tcPr>
          <w:p>
            <w:pPr>
              <w:spacing w:after="20" w:before="20"/>
            </w:pPr>
            <w:r/>
            <w:r>
              <w:rPr>
                <w:rFonts w:ascii="Times New Roman" w:hAnsi="Times New Roman"/>
                <w:b w:val="0"/>
                <w:color w:val="1A1A1A"/>
                <w:sz w:val="18"/>
              </w:rPr>
              <w:t>Constructed VIT</w:t>
            </w:r>
          </w:p>
        </w:tc>
        <w:tc>
          <w:tcPr>
            <w:tcW w:type="dxa" w:w="720"/>
          </w:tcPr>
          <w:p>
            <w:pPr>
              <w:spacing w:after="20" w:before="20"/>
            </w:pPr>
            <w:r/>
            <w:r>
              <w:rPr>
                <w:rFonts w:ascii="Times New Roman" w:hAnsi="Times New Roman"/>
                <w:b w:val="0"/>
                <w:color w:val="1A1A1A"/>
                <w:sz w:val="18"/>
              </w:rPr>
              <w:t>34</w:t>
            </w:r>
          </w:p>
        </w:tc>
        <w:tc>
          <w:tcPr>
            <w:tcW w:type="dxa" w:w="1296"/>
          </w:tcPr>
          <w:p>
            <w:pPr>
              <w:spacing w:after="20" w:before="20"/>
            </w:pPr>
            <w:r/>
            <w:r>
              <w:rPr>
                <w:rFonts w:ascii="Times New Roman" w:hAnsi="Times New Roman"/>
                <w:b w:val="0"/>
                <w:color w:val="1A1A1A"/>
                <w:sz w:val="18"/>
              </w:rPr>
              <w:t>0.7647</w:t>
            </w:r>
          </w:p>
        </w:tc>
        <w:tc>
          <w:tcPr>
            <w:tcW w:type="dxa" w:w="1152"/>
          </w:tcPr>
          <w:p>
            <w:pPr>
              <w:spacing w:after="20" w:before="20"/>
            </w:pPr>
            <w:r/>
            <w:r>
              <w:rPr>
                <w:rFonts w:ascii="Times New Roman" w:hAnsi="Times New Roman"/>
                <w:b w:val="0"/>
                <w:color w:val="1A1A1A"/>
                <w:sz w:val="18"/>
              </w:rPr>
              <w:t>0.8125</w:t>
            </w:r>
          </w:p>
        </w:tc>
        <w:tc>
          <w:tcPr>
            <w:tcW w:type="dxa" w:w="1152"/>
          </w:tcPr>
          <w:p>
            <w:pPr>
              <w:spacing w:after="20" w:before="20"/>
            </w:pPr>
            <w:r/>
            <w:r>
              <w:rPr>
                <w:rFonts w:ascii="Times New Roman" w:hAnsi="Times New Roman"/>
                <w:b w:val="0"/>
                <w:color w:val="1A1A1A"/>
                <w:sz w:val="18"/>
              </w:rPr>
              <w:t>0.7879</w:t>
            </w:r>
          </w:p>
        </w:tc>
        <w:tc>
          <w:tcPr>
            <w:tcW w:type="dxa" w:w="1440"/>
          </w:tcPr>
          <w:p>
            <w:pPr>
              <w:spacing w:after="20" w:before="20"/>
            </w:pPr>
            <w:r/>
            <w:r>
              <w:rPr>
                <w:rFonts w:ascii="Times New Roman" w:hAnsi="Times New Roman"/>
                <w:b w:val="0"/>
                <w:color w:val="1A1A1A"/>
                <w:sz w:val="18"/>
              </w:rPr>
              <w:t>0.2222</w:t>
            </w:r>
          </w:p>
        </w:tc>
      </w:tr>
    </w:tbl>
    <w:p>
      <w:pPr>
        <w:spacing w:after="120"/>
        <w:jc w:val="both"/>
      </w:pPr>
      <w:r>
        <w:rPr>
          <w:rFonts w:ascii="Times New Roman" w:hAnsi="Times New Roman"/>
          <w:i w:val="0"/>
          <w:sz w:val="22"/>
        </w:rPr>
        <w:t>The VIT row is the scenario-specific view: 13 of 16 VIT phishing messages are caught, 14 of 18 VIT legitimate messages are correctly left alone, and 4 legitimate VIT messages are flagged. The Nazario row shows that the model recovers 69 of 73 real phishing emails. The SpamAssassin row shows that the model produces no threshold-level false positives on the legitimate-only source, even though the final rule layer does.</w:t>
      </w:r>
    </w:p>
    <w:p>
      <w:pPr>
        <w:pStyle w:val="Heading2"/>
      </w:pPr>
      <w:r>
        <w:t>7.4 Final-label behaviour</w:t>
      </w:r>
    </w:p>
    <w:p>
      <w:pPr>
        <w:spacing w:after="120"/>
        <w:jc w:val="both"/>
      </w:pPr>
      <w:r>
        <w:rPr>
          <w:rFonts w:ascii="Times New Roman" w:hAnsi="Times New Roman"/>
          <w:i w:val="0"/>
          <w:sz w:val="22"/>
        </w:rPr>
        <w:t>The final label combines the model probability with the rule signals and the composite score. Table 9 reports the user-facing outcomes. High Risk and Suspicious are treated as hard false positives; Uncertain is the intended review route and is reported separately; missed phishing counts phishing messages that received Low Risk.</w:t>
      </w:r>
    </w:p>
    <w:p>
      <w:pPr>
        <w:keepNext/>
        <w:spacing w:before="200" w:after="80"/>
      </w:pPr>
      <w:r>
        <w:rPr>
          <w:rFonts w:ascii="Times New Roman" w:hAnsi="Times New Roman"/>
          <w:b/>
          <w:color w:val="1D2A24"/>
          <w:sz w:val="19"/>
        </w:rPr>
        <w:t>Table 9. Final-label behaviour on the frozen test set.</w:t>
      </w:r>
    </w:p>
    <w:tbl>
      <w:tblPr>
        <w:tblStyle w:val="TableGrid"/>
        <w:tblW w:type="auto" w:w="0"/>
        <w:jc w:val="center"/>
        <w:tblLayout w:type="fixed"/>
        <w:tblLook w:firstColumn="1" w:firstRow="1" w:lastColumn="0" w:lastRow="0" w:noHBand="0" w:noVBand="1" w:val="04A0"/>
      </w:tblPr>
      <w:tblGrid>
        <w:gridCol w:w="2160"/>
        <w:gridCol w:w="720"/>
        <w:gridCol w:w="1584"/>
        <w:gridCol w:w="1728"/>
        <w:gridCol w:w="1152"/>
        <w:gridCol w:w="1296"/>
      </w:tblGrid>
      <w:tr>
        <w:trPr>
          <w:cantSplit/>
          <w:tblHeader/>
        </w:trPr>
        <w:tc>
          <w:tcPr>
            <w:tcW w:type="dxa" w:w="2160"/>
            <w:shd w:val="clear" w:color="auto" w:fill="EEF1EA"/>
          </w:tcPr>
          <w:p>
            <w:pPr>
              <w:spacing w:after="20" w:before="20"/>
            </w:pPr>
            <w:r/>
            <w:r>
              <w:rPr>
                <w:rFonts w:ascii="Times New Roman" w:hAnsi="Times New Roman"/>
                <w:b/>
                <w:color w:val="1D2A24"/>
                <w:sz w:val="18"/>
              </w:rPr>
              <w:t>Source</w:t>
            </w:r>
          </w:p>
        </w:tc>
        <w:tc>
          <w:tcPr>
            <w:tcW w:type="dxa" w:w="720"/>
            <w:shd w:val="clear" w:color="auto" w:fill="EEF1EA"/>
          </w:tcPr>
          <w:p>
            <w:pPr>
              <w:spacing w:after="20" w:before="20"/>
            </w:pPr>
            <w:r/>
            <w:r>
              <w:rPr>
                <w:rFonts w:ascii="Times New Roman" w:hAnsi="Times New Roman"/>
                <w:b/>
                <w:color w:val="1D2A24"/>
                <w:sz w:val="18"/>
              </w:rPr>
              <w:t>n</w:t>
            </w:r>
          </w:p>
        </w:tc>
        <w:tc>
          <w:tcPr>
            <w:tcW w:type="dxa" w:w="1584"/>
            <w:shd w:val="clear" w:color="auto" w:fill="EEF1EA"/>
          </w:tcPr>
          <w:p>
            <w:pPr>
              <w:spacing w:after="20" w:before="20"/>
            </w:pPr>
            <w:r/>
            <w:r>
              <w:rPr>
                <w:rFonts w:ascii="Times New Roman" w:hAnsi="Times New Roman"/>
                <w:b/>
                <w:color w:val="1D2A24"/>
                <w:sz w:val="18"/>
              </w:rPr>
              <w:t>High-risk false positives</w:t>
            </w:r>
          </w:p>
        </w:tc>
        <w:tc>
          <w:tcPr>
            <w:tcW w:type="dxa" w:w="1728"/>
            <w:shd w:val="clear" w:color="auto" w:fill="EEF1EA"/>
          </w:tcPr>
          <w:p>
            <w:pPr>
              <w:spacing w:after="20" w:before="20"/>
            </w:pPr>
            <w:r/>
            <w:r>
              <w:rPr>
                <w:rFonts w:ascii="Times New Roman" w:hAnsi="Times New Roman"/>
                <w:b/>
                <w:color w:val="1D2A24"/>
                <w:sz w:val="18"/>
              </w:rPr>
              <w:t>Suspicious false positives</w:t>
            </w:r>
          </w:p>
        </w:tc>
        <w:tc>
          <w:tcPr>
            <w:tcW w:type="dxa" w:w="1152"/>
            <w:shd w:val="clear" w:color="auto" w:fill="EEF1EA"/>
          </w:tcPr>
          <w:p>
            <w:pPr>
              <w:spacing w:after="20" w:before="20"/>
            </w:pPr>
            <w:r/>
            <w:r>
              <w:rPr>
                <w:rFonts w:ascii="Times New Roman" w:hAnsi="Times New Roman"/>
                <w:b/>
                <w:color w:val="1D2A24"/>
                <w:sz w:val="18"/>
              </w:rPr>
              <w:t>Uncertain</w:t>
            </w:r>
          </w:p>
        </w:tc>
        <w:tc>
          <w:tcPr>
            <w:tcW w:type="dxa" w:w="1296"/>
            <w:shd w:val="clear" w:color="auto" w:fill="EEF1EA"/>
          </w:tcPr>
          <w:p>
            <w:pPr>
              <w:spacing w:after="20" w:before="20"/>
            </w:pPr>
            <w:r/>
            <w:r>
              <w:rPr>
                <w:rFonts w:ascii="Times New Roman" w:hAnsi="Times New Roman"/>
                <w:b/>
                <w:color w:val="1D2A24"/>
                <w:sz w:val="18"/>
              </w:rPr>
              <w:t>Missed phishing</w:t>
            </w:r>
          </w:p>
        </w:tc>
      </w:tr>
      <w:tr>
        <w:trPr>
          <w:cantSplit/>
        </w:trPr>
        <w:tc>
          <w:tcPr>
            <w:tcW w:type="dxa" w:w="2160"/>
          </w:tcPr>
          <w:p>
            <w:pPr>
              <w:spacing w:after="20" w:before="20"/>
            </w:pPr>
            <w:r/>
            <w:r>
              <w:rPr>
                <w:rFonts w:ascii="Times New Roman" w:hAnsi="Times New Roman"/>
                <w:b w:val="0"/>
                <w:color w:val="1A1A1A"/>
                <w:sz w:val="18"/>
              </w:rPr>
              <w:t>Constructed VIT</w:t>
            </w:r>
          </w:p>
        </w:tc>
        <w:tc>
          <w:tcPr>
            <w:tcW w:type="dxa" w:w="720"/>
          </w:tcPr>
          <w:p>
            <w:pPr>
              <w:spacing w:after="20" w:before="20"/>
            </w:pPr>
            <w:r/>
            <w:r>
              <w:rPr>
                <w:rFonts w:ascii="Times New Roman" w:hAnsi="Times New Roman"/>
                <w:b w:val="0"/>
                <w:color w:val="1A1A1A"/>
                <w:sz w:val="18"/>
              </w:rPr>
              <w:t>34</w:t>
            </w:r>
          </w:p>
        </w:tc>
        <w:tc>
          <w:tcPr>
            <w:tcW w:type="dxa" w:w="1584"/>
          </w:tcPr>
          <w:p>
            <w:pPr>
              <w:spacing w:after="20" w:before="20"/>
            </w:pPr>
            <w:r/>
            <w:r>
              <w:rPr>
                <w:rFonts w:ascii="Times New Roman" w:hAnsi="Times New Roman"/>
                <w:b w:val="0"/>
                <w:color w:val="1A1A1A"/>
                <w:sz w:val="18"/>
              </w:rPr>
              <w:t>0</w:t>
            </w:r>
          </w:p>
        </w:tc>
        <w:tc>
          <w:tcPr>
            <w:tcW w:type="dxa" w:w="1728"/>
          </w:tcPr>
          <w:p>
            <w:pPr>
              <w:spacing w:after="20" w:before="20"/>
            </w:pPr>
            <w:r/>
            <w:r>
              <w:rPr>
                <w:rFonts w:ascii="Times New Roman" w:hAnsi="Times New Roman"/>
                <w:b w:val="0"/>
                <w:color w:val="1A1A1A"/>
                <w:sz w:val="18"/>
              </w:rPr>
              <w:t>2</w:t>
            </w:r>
          </w:p>
        </w:tc>
        <w:tc>
          <w:tcPr>
            <w:tcW w:type="dxa" w:w="1152"/>
          </w:tcPr>
          <w:p>
            <w:pPr>
              <w:spacing w:after="20" w:before="20"/>
            </w:pPr>
            <w:r/>
            <w:r>
              <w:rPr>
                <w:rFonts w:ascii="Times New Roman" w:hAnsi="Times New Roman"/>
                <w:b w:val="0"/>
                <w:color w:val="1A1A1A"/>
                <w:sz w:val="18"/>
              </w:rPr>
              <w:t>1</w:t>
            </w:r>
          </w:p>
        </w:tc>
        <w:tc>
          <w:tcPr>
            <w:tcW w:type="dxa" w:w="1296"/>
          </w:tcPr>
          <w:p>
            <w:pPr>
              <w:spacing w:after="20" w:before="20"/>
            </w:pPr>
            <w:r/>
            <w:r>
              <w:rPr>
                <w:rFonts w:ascii="Times New Roman" w:hAnsi="Times New Roman"/>
                <w:b w:val="0"/>
                <w:color w:val="1A1A1A"/>
                <w:sz w:val="18"/>
              </w:rPr>
              <w:t>0</w:t>
            </w:r>
          </w:p>
        </w:tc>
      </w:tr>
      <w:tr>
        <w:trPr>
          <w:cantSplit/>
        </w:trPr>
        <w:tc>
          <w:tcPr>
            <w:tcW w:type="dxa" w:w="2160"/>
          </w:tcPr>
          <w:p>
            <w:pPr>
              <w:spacing w:after="20" w:before="20"/>
            </w:pPr>
            <w:r/>
            <w:r>
              <w:rPr>
                <w:rFonts w:ascii="Times New Roman" w:hAnsi="Times New Roman"/>
                <w:b w:val="0"/>
                <w:color w:val="1A1A1A"/>
                <w:sz w:val="18"/>
              </w:rPr>
              <w:t>SpamAssassin</w:t>
            </w:r>
          </w:p>
        </w:tc>
        <w:tc>
          <w:tcPr>
            <w:tcW w:type="dxa" w:w="720"/>
          </w:tcPr>
          <w:p>
            <w:pPr>
              <w:spacing w:after="20" w:before="20"/>
            </w:pPr>
            <w:r/>
            <w:r>
              <w:rPr>
                <w:rFonts w:ascii="Times New Roman" w:hAnsi="Times New Roman"/>
                <w:b w:val="0"/>
                <w:color w:val="1A1A1A"/>
                <w:sz w:val="18"/>
              </w:rPr>
              <w:t>135</w:t>
            </w:r>
          </w:p>
        </w:tc>
        <w:tc>
          <w:tcPr>
            <w:tcW w:type="dxa" w:w="1584"/>
          </w:tcPr>
          <w:p>
            <w:pPr>
              <w:spacing w:after="20" w:before="20"/>
            </w:pPr>
            <w:r/>
            <w:r>
              <w:rPr>
                <w:rFonts w:ascii="Times New Roman" w:hAnsi="Times New Roman"/>
                <w:b w:val="0"/>
                <w:color w:val="1A1A1A"/>
                <w:sz w:val="18"/>
              </w:rPr>
              <w:t>12</w:t>
            </w:r>
          </w:p>
        </w:tc>
        <w:tc>
          <w:tcPr>
            <w:tcW w:type="dxa" w:w="1728"/>
          </w:tcPr>
          <w:p>
            <w:pPr>
              <w:spacing w:after="20" w:before="20"/>
            </w:pPr>
            <w:r/>
            <w:r>
              <w:rPr>
                <w:rFonts w:ascii="Times New Roman" w:hAnsi="Times New Roman"/>
                <w:b w:val="0"/>
                <w:color w:val="1A1A1A"/>
                <w:sz w:val="18"/>
              </w:rPr>
              <w:t>42</w:t>
            </w:r>
          </w:p>
        </w:tc>
        <w:tc>
          <w:tcPr>
            <w:tcW w:type="dxa" w:w="1152"/>
          </w:tcPr>
          <w:p>
            <w:pPr>
              <w:spacing w:after="20" w:before="20"/>
            </w:pPr>
            <w:r/>
            <w:r>
              <w:rPr>
                <w:rFonts w:ascii="Times New Roman" w:hAnsi="Times New Roman"/>
                <w:b w:val="0"/>
                <w:color w:val="1A1A1A"/>
                <w:sz w:val="18"/>
              </w:rPr>
              <w:t>0</w:t>
            </w:r>
          </w:p>
        </w:tc>
        <w:tc>
          <w:tcPr>
            <w:tcW w:type="dxa" w:w="1296"/>
          </w:tcPr>
          <w:p>
            <w:pPr>
              <w:spacing w:after="20" w:before="20"/>
            </w:pPr>
            <w:r/>
            <w:r>
              <w:rPr>
                <w:rFonts w:ascii="Times New Roman" w:hAnsi="Times New Roman"/>
                <w:b w:val="0"/>
                <w:color w:val="1A1A1A"/>
                <w:sz w:val="18"/>
              </w:rPr>
              <w:t>0</w:t>
            </w:r>
          </w:p>
        </w:tc>
      </w:tr>
      <w:tr>
        <w:trPr>
          <w:cantSplit/>
        </w:trPr>
        <w:tc>
          <w:tcPr>
            <w:tcW w:type="dxa" w:w="2160"/>
          </w:tcPr>
          <w:p>
            <w:pPr>
              <w:spacing w:after="20" w:before="20"/>
            </w:pPr>
            <w:r/>
            <w:r>
              <w:rPr>
                <w:rFonts w:ascii="Times New Roman" w:hAnsi="Times New Roman"/>
                <w:b w:val="0"/>
                <w:color w:val="1A1A1A"/>
                <w:sz w:val="18"/>
              </w:rPr>
              <w:t>Nazario</w:t>
            </w:r>
          </w:p>
        </w:tc>
        <w:tc>
          <w:tcPr>
            <w:tcW w:type="dxa" w:w="720"/>
          </w:tcPr>
          <w:p>
            <w:pPr>
              <w:spacing w:after="20" w:before="20"/>
            </w:pPr>
            <w:r/>
            <w:r>
              <w:rPr>
                <w:rFonts w:ascii="Times New Roman" w:hAnsi="Times New Roman"/>
                <w:b w:val="0"/>
                <w:color w:val="1A1A1A"/>
                <w:sz w:val="18"/>
              </w:rPr>
              <w:t>73</w:t>
            </w:r>
          </w:p>
        </w:tc>
        <w:tc>
          <w:tcPr>
            <w:tcW w:type="dxa" w:w="1584"/>
          </w:tcPr>
          <w:p>
            <w:pPr>
              <w:spacing w:after="20" w:before="20"/>
            </w:pPr>
            <w:r/>
            <w:r>
              <w:rPr>
                <w:rFonts w:ascii="Times New Roman" w:hAnsi="Times New Roman"/>
                <w:b w:val="0"/>
                <w:color w:val="1A1A1A"/>
                <w:sz w:val="18"/>
              </w:rPr>
              <w:t>0</w:t>
            </w:r>
          </w:p>
        </w:tc>
        <w:tc>
          <w:tcPr>
            <w:tcW w:type="dxa" w:w="1728"/>
          </w:tcPr>
          <w:p>
            <w:pPr>
              <w:spacing w:after="20" w:before="20"/>
            </w:pPr>
            <w:r/>
            <w:r>
              <w:rPr>
                <w:rFonts w:ascii="Times New Roman" w:hAnsi="Times New Roman"/>
                <w:b w:val="0"/>
                <w:color w:val="1A1A1A"/>
                <w:sz w:val="18"/>
              </w:rPr>
              <w:t>0</w:t>
            </w:r>
          </w:p>
        </w:tc>
        <w:tc>
          <w:tcPr>
            <w:tcW w:type="dxa" w:w="1152"/>
          </w:tcPr>
          <w:p>
            <w:pPr>
              <w:spacing w:after="20" w:before="20"/>
            </w:pPr>
            <w:r/>
            <w:r>
              <w:rPr>
                <w:rFonts w:ascii="Times New Roman" w:hAnsi="Times New Roman"/>
                <w:b w:val="0"/>
                <w:color w:val="1A1A1A"/>
                <w:sz w:val="18"/>
              </w:rPr>
              <w:t>0</w:t>
            </w:r>
          </w:p>
        </w:tc>
        <w:tc>
          <w:tcPr>
            <w:tcW w:type="dxa" w:w="1296"/>
          </w:tcPr>
          <w:p>
            <w:pPr>
              <w:spacing w:after="20" w:before="20"/>
            </w:pPr>
            <w:r/>
            <w:r>
              <w:rPr>
                <w:rFonts w:ascii="Times New Roman" w:hAnsi="Times New Roman"/>
                <w:b w:val="0"/>
                <w:color w:val="1A1A1A"/>
                <w:sz w:val="18"/>
              </w:rPr>
              <w:t>5</w:t>
            </w:r>
          </w:p>
        </w:tc>
      </w:tr>
      <w:tr>
        <w:trPr>
          <w:cantSplit/>
        </w:trPr>
        <w:tc>
          <w:tcPr>
            <w:tcW w:type="dxa" w:w="2160"/>
          </w:tcPr>
          <w:p>
            <w:pPr>
              <w:spacing w:after="20" w:before="20"/>
            </w:pPr>
            <w:r/>
            <w:r>
              <w:rPr>
                <w:rFonts w:ascii="Times New Roman" w:hAnsi="Times New Roman"/>
                <w:b w:val="0"/>
                <w:color w:val="1A1A1A"/>
                <w:sz w:val="18"/>
              </w:rPr>
              <w:t>Overall</w:t>
            </w:r>
          </w:p>
        </w:tc>
        <w:tc>
          <w:tcPr>
            <w:tcW w:type="dxa" w:w="720"/>
          </w:tcPr>
          <w:p>
            <w:pPr>
              <w:spacing w:after="20" w:before="20"/>
            </w:pPr>
            <w:r/>
            <w:r>
              <w:rPr>
                <w:rFonts w:ascii="Times New Roman" w:hAnsi="Times New Roman"/>
                <w:b w:val="0"/>
                <w:color w:val="1A1A1A"/>
                <w:sz w:val="18"/>
              </w:rPr>
              <w:t>242</w:t>
            </w:r>
          </w:p>
        </w:tc>
        <w:tc>
          <w:tcPr>
            <w:tcW w:type="dxa" w:w="1584"/>
          </w:tcPr>
          <w:p>
            <w:pPr>
              <w:spacing w:after="20" w:before="20"/>
            </w:pPr>
            <w:r/>
            <w:r>
              <w:rPr>
                <w:rFonts w:ascii="Times New Roman" w:hAnsi="Times New Roman"/>
                <w:b w:val="0"/>
                <w:color w:val="1A1A1A"/>
                <w:sz w:val="18"/>
              </w:rPr>
              <w:t>12</w:t>
            </w:r>
          </w:p>
        </w:tc>
        <w:tc>
          <w:tcPr>
            <w:tcW w:type="dxa" w:w="1728"/>
          </w:tcPr>
          <w:p>
            <w:pPr>
              <w:spacing w:after="20" w:before="20"/>
            </w:pPr>
            <w:r/>
            <w:r>
              <w:rPr>
                <w:rFonts w:ascii="Times New Roman" w:hAnsi="Times New Roman"/>
                <w:b w:val="0"/>
                <w:color w:val="1A1A1A"/>
                <w:sz w:val="18"/>
              </w:rPr>
              <w:t>44</w:t>
            </w:r>
          </w:p>
        </w:tc>
        <w:tc>
          <w:tcPr>
            <w:tcW w:type="dxa" w:w="1152"/>
          </w:tcPr>
          <w:p>
            <w:pPr>
              <w:spacing w:after="20" w:before="20"/>
            </w:pPr>
            <w:r/>
            <w:r>
              <w:rPr>
                <w:rFonts w:ascii="Times New Roman" w:hAnsi="Times New Roman"/>
                <w:b w:val="0"/>
                <w:color w:val="1A1A1A"/>
                <w:sz w:val="18"/>
              </w:rPr>
              <w:t>1</w:t>
            </w:r>
          </w:p>
        </w:tc>
        <w:tc>
          <w:tcPr>
            <w:tcW w:type="dxa" w:w="1296"/>
          </w:tcPr>
          <w:p>
            <w:pPr>
              <w:spacing w:after="20" w:before="20"/>
            </w:pPr>
            <w:r/>
            <w:r>
              <w:rPr>
                <w:rFonts w:ascii="Times New Roman" w:hAnsi="Times New Roman"/>
                <w:b w:val="0"/>
                <w:color w:val="1A1A1A"/>
                <w:sz w:val="18"/>
              </w:rPr>
              <w:t>5</w:t>
            </w:r>
          </w:p>
        </w:tc>
      </w:tr>
    </w:tbl>
    <w:p>
      <w:pPr>
        <w:spacing w:after="120"/>
        <w:jc w:val="both"/>
      </w:pPr>
      <w:r>
        <w:rPr>
          <w:rFonts w:ascii="Times New Roman" w:hAnsi="Times New Roman"/>
          <w:i w:val="0"/>
          <w:sz w:val="22"/>
        </w:rPr>
        <w:t>The VIT-specific result is strong: zero High Risk false positives, two Suspicious false positives, one Uncertain routing, and zero missed phishing out of 34 rows. Because the credential rule was refined after inspecting these rows, this VIT figure is a development result for the rule layer, not a fully untouched estimate; the model-level VIT metrics in Table 8 are unaffected. The overall result is more cautious. The rule layer flags 56 of the 153 legitimate test messages as High Risk or Suspicious, a hard false-positive rate of 36.6%; twelve of those are High Risk, a rate of 7.8%. Almost all of these come from the 2002–2003 SpamAssassin legitimate mail, whose administrative language and old link patterns trigger the rule layer even when the model probability is low. The broader final-label false-positive rate is therefore the main operational limitation of the pilot.</w:t>
      </w:r>
    </w:p>
    <w:p>
      <w:pPr>
        <w:spacing w:after="120"/>
        <w:jc w:val="both"/>
      </w:pPr>
      <w:r>
        <w:rPr>
          <w:rFonts w:ascii="Times New Roman" w:hAnsi="Times New Roman"/>
          <w:i w:val="0"/>
          <w:sz w:val="22"/>
        </w:rPr>
        <w:t>The final layer also recovers two of the seven model false negatives: the model misses seven phishing messages at the threshold, but the final label misses five. This shows that the rules add value, while the SpamAssassin result shows that they need calibration.</w:t>
      </w:r>
    </w:p>
    <w:p>
      <w:pPr>
        <w:pStyle w:val="Heading2"/>
      </w:pPr>
      <w:r>
        <w:t>7.5 URL-only sanity baseline</w:t>
      </w:r>
    </w:p>
    <w:p>
      <w:pPr>
        <w:spacing w:after="120"/>
        <w:jc w:val="both"/>
      </w:pPr>
      <w:r>
        <w:rPr>
          <w:rFonts w:ascii="Times New Roman" w:hAnsi="Times New Roman"/>
          <w:i w:val="0"/>
          <w:sz w:val="22"/>
        </w:rPr>
        <w:t>The URL-only rule reaches 42.56% accuracy on the test set and 54.34% on the full dataset. It is far below the core model's 95.45% test accuracy, which confirms that the dataset is no longer solvable by the shortcut that made the earlier 126-row dataset look perfect.</w:t>
      </w:r>
    </w:p>
    <w:p>
      <w:pPr>
        <w:pStyle w:val="Heading2"/>
      </w:pPr>
      <w:r>
        <w:t>7.6 Validation and test performance</w:t>
      </w:r>
    </w:p>
    <w:p>
      <w:pPr>
        <w:spacing w:after="120"/>
        <w:jc w:val="both"/>
      </w:pPr>
      <w:r>
        <w:rPr>
          <w:rFonts w:ascii="Times New Roman" w:hAnsi="Times New Roman"/>
          <w:i w:val="0"/>
          <w:sz w:val="22"/>
        </w:rPr>
        <w:t>The core model achieved 97.53% accuracy and a 97.87% F1-score on the 162-row validation set selected for threshold tuning. The test set is deliberately harder: it contains unseen clusters, real phishing campaigns, and hard negatives, and the model has never been tuned on it. The drop from validation F1 97.87% to test F1 93.71% is therefore expected and is the more honest estimate of generalisation.</w:t>
      </w:r>
    </w:p>
    <w:p>
      <w:pPr>
        <w:pStyle w:val="Heading2"/>
      </w:pPr>
      <w:r>
        <w:t>7.7 Summary of findings</w:t>
      </w:r>
    </w:p>
    <w:p>
      <w:pPr>
        <w:pStyle w:val="ListBullet"/>
        <w:spacing w:after="60"/>
      </w:pPr>
      <w:r>
        <w:t>The core model is accurate and precise: 95.45% accuracy, 95.35% precision, 93.71% F1, and a 2.61% model-level false-positive rate.</w:t>
      </w:r>
    </w:p>
    <w:p>
      <w:pPr>
        <w:pStyle w:val="ListBullet"/>
        <w:spacing w:after="60"/>
      </w:pPr>
      <w:r>
        <w:t>The baseline catches more phishing (95.51% recall) but produces more false positives (8.50% FPR) and a lower F1 (90.91%).</w:t>
      </w:r>
    </w:p>
    <w:p>
      <w:pPr>
        <w:pStyle w:val="ListBullet"/>
        <w:spacing w:after="60"/>
      </w:pPr>
      <w:r>
        <w:t>The VIT-specific final labels are strong: zero High Risk false positives, zero missed phishing, two Suspicious false positives, and one Uncertain routing.</w:t>
      </w:r>
    </w:p>
    <w:p>
      <w:pPr>
        <w:pStyle w:val="ListBullet"/>
        <w:spacing w:after="60"/>
      </w:pPr>
      <w:r>
        <w:t>The final rule layer over-flags general legitimate mail, particularly the old SpamAssassin ham; this is the main limitation and the first calibration target.</w:t>
      </w:r>
    </w:p>
    <w:p>
      <w:pPr>
        <w:pStyle w:val="ListBullet"/>
        <w:spacing w:after="60"/>
      </w:pPr>
      <w:r>
        <w:t>The URL-only shortcut no longer explains the result: 42.56% test accuracy versus 95.45% for the model.</w:t>
      </w:r>
    </w:p>
    <w:p>
      <w:r>
        <w:br w:type="page"/>
      </w:r>
    </w:p>
    <w:p>
      <w:pPr>
        <w:pStyle w:val="Heading1"/>
      </w:pPr>
      <w:r>
        <w:t>8. System Interface</w:t>
      </w:r>
    </w:p>
    <w:p>
      <w:pPr>
        <w:spacing w:after="120"/>
        <w:jc w:val="both"/>
      </w:pPr>
      <w:r>
        <w:rPr>
          <w:rFonts w:ascii="Times New Roman" w:hAnsi="Times New Roman"/>
          <w:i w:val="0"/>
          <w:sz w:val="22"/>
        </w:rPr>
        <w:t>The interface is a single-page analyser built around the idea of a message under examination. The user pastes a message, optionally supplies a sender, and chooses Analyse. The assessment panel then shows the verdict, the risk index, four signal rows, the evidence list, the annotated message, and the safe next steps. The visual language is a calm case file: cool paper, deep ink, an oxblood verdict, and a highlighter for evidence. Typography is self-hosted IBM Plex Serif, Sans, and Mono; the page makes no external font request.</w:t>
      </w:r>
    </w:p>
    <w:p>
      <w:pPr>
        <w:spacing w:after="120"/>
        <w:jc w:val="both"/>
      </w:pPr>
      <w:r>
        <w:rPr>
          <w:rFonts w:ascii="Times New Roman" w:hAnsi="Times New Roman"/>
          <w:i w:val="0"/>
          <w:sz w:val="22"/>
        </w:rPr>
        <w:t>The annotated message is the central explanatory device. Urgency phrases, credential requests, and defanged links are highlighted in place. The interface never renders a submitted URL as a clickable anchor; links are shown as hxxp:// and [.] and are accompanied by a plain-text warning that no link is opened. The analysis is local and the page does not call a URL reputation service.</w:t>
      </w:r>
    </w:p>
    <w:p>
      <w:pPr>
        <w:spacing w:after="120"/>
        <w:jc w:val="both"/>
      </w:pPr>
      <w:r>
        <w:rPr>
          <w:rFonts w:ascii="Times New Roman" w:hAnsi="Times New Roman"/>
          <w:i w:val="0"/>
          <w:sz w:val="22"/>
        </w:rPr>
        <w:t>The four screenshots below show the initial state, the VIT suspension sample at high risk, the evidence and advice for that sample, and a genuine VIT circular at low risk. They were captured from the running application at 127.0.0.1:8000.</w:t>
      </w:r>
    </w:p>
    <w:p>
      <w:pPr>
        <w:spacing w:before="120" w:after="80"/>
        <w:jc w:val="center"/>
      </w:pPr>
      <w:r>
        <w:drawing>
          <wp:inline xmlns:a="http://schemas.openxmlformats.org/drawingml/2006/main" xmlns:pic="http://schemas.openxmlformats.org/drawingml/2006/picture">
            <wp:extent cx="5577840" cy="7228425"/>
            <wp:docPr id="1" name="Picture 1"/>
            <wp:cNvGraphicFramePr>
              <a:graphicFrameLocks noChangeAspect="1"/>
            </wp:cNvGraphicFramePr>
            <a:graphic>
              <a:graphicData uri="http://schemas.openxmlformats.org/drawingml/2006/picture">
                <pic:pic>
                  <pic:nvPicPr>
                    <pic:cNvPr id="0" name="01_initial.png"/>
                    <pic:cNvPicPr/>
                  </pic:nvPicPr>
                  <pic:blipFill>
                    <a:blip r:embed="rId11"/>
                    <a:stretch>
                      <a:fillRect/>
                    </a:stretch>
                  </pic:blipFill>
                  <pic:spPr>
                    <a:xfrm>
                      <a:off x="0" y="0"/>
                      <a:ext cx="5577840" cy="7228425"/>
                    </a:xfrm>
                    <a:prstGeom prst="rect"/>
                  </pic:spPr>
                </pic:pic>
              </a:graphicData>
            </a:graphic>
          </wp:inline>
        </w:drawing>
      </w:r>
    </w:p>
    <w:p>
      <w:pPr>
        <w:spacing w:after="240"/>
        <w:jc w:val="center"/>
      </w:pPr>
      <w:r>
        <w:rPr>
          <w:rFonts w:ascii="Times New Roman" w:hAnsi="Times New Roman"/>
          <w:i/>
          <w:color w:val="4E5D55"/>
          <w:sz w:val="18"/>
        </w:rPr>
        <w:t>Figure 1. Initial interface. The message sheet, optional sender field, and sample scenarios are visible; the assessment panel remains empty until a message is analysed.</w:t>
      </w:r>
    </w:p>
    <w:p>
      <w:r>
        <w:br w:type="page"/>
      </w:r>
    </w:p>
    <w:p>
      <w:pPr>
        <w:spacing w:before="120" w:after="80"/>
        <w:jc w:val="center"/>
      </w:pPr>
      <w:r>
        <w:drawing>
          <wp:inline xmlns:a="http://schemas.openxmlformats.org/drawingml/2006/main" xmlns:pic="http://schemas.openxmlformats.org/drawingml/2006/picture">
            <wp:extent cx="5577840" cy="6033174"/>
            <wp:docPr id="2" name="Picture 2"/>
            <wp:cNvGraphicFramePr>
              <a:graphicFrameLocks noChangeAspect="1"/>
            </wp:cNvGraphicFramePr>
            <a:graphic>
              <a:graphicData uri="http://schemas.openxmlformats.org/drawingml/2006/picture">
                <pic:pic>
                  <pic:nvPicPr>
                    <pic:cNvPr id="0" name="02_high_risk_assessment.png"/>
                    <pic:cNvPicPr/>
                  </pic:nvPicPr>
                  <pic:blipFill>
                    <a:blip r:embed="rId12"/>
                    <a:stretch>
                      <a:fillRect/>
                    </a:stretch>
                  </pic:blipFill>
                  <pic:spPr>
                    <a:xfrm>
                      <a:off x="0" y="0"/>
                      <a:ext cx="5577840" cy="6033174"/>
                    </a:xfrm>
                    <a:prstGeom prst="rect"/>
                  </pic:spPr>
                </pic:pic>
              </a:graphicData>
            </a:graphic>
          </wp:inline>
        </w:drawing>
      </w:r>
    </w:p>
    <w:p>
      <w:pPr>
        <w:spacing w:after="240"/>
        <w:jc w:val="center"/>
      </w:pPr>
      <w:r>
        <w:rPr>
          <w:rFonts w:ascii="Times New Roman" w:hAnsi="Times New Roman"/>
          <w:i/>
          <w:color w:val="4E5D55"/>
          <w:sz w:val="18"/>
        </w:rPr>
        <w:t>Figure 2. High-risk assessment for the VIT account-suspension sample. The verdict, risk index, four signal rows, and the defanged link are shown.</w:t>
      </w:r>
    </w:p>
    <w:p>
      <w:r>
        <w:br w:type="page"/>
      </w:r>
    </w:p>
    <w:p>
      <w:pPr>
        <w:spacing w:before="120" w:after="80"/>
        <w:jc w:val="center"/>
      </w:pPr>
      <w:r>
        <w:drawing>
          <wp:inline xmlns:a="http://schemas.openxmlformats.org/drawingml/2006/main" xmlns:pic="http://schemas.openxmlformats.org/drawingml/2006/picture">
            <wp:extent cx="5577840" cy="5691673"/>
            <wp:docPr id="3" name="Picture 3"/>
            <wp:cNvGraphicFramePr>
              <a:graphicFrameLocks noChangeAspect="1"/>
            </wp:cNvGraphicFramePr>
            <a:graphic>
              <a:graphicData uri="http://schemas.openxmlformats.org/drawingml/2006/picture">
                <pic:pic>
                  <pic:nvPicPr>
                    <pic:cNvPr id="0" name="03_high_risk_evidence.png"/>
                    <pic:cNvPicPr/>
                  </pic:nvPicPr>
                  <pic:blipFill>
                    <a:blip r:embed="rId13"/>
                    <a:stretch>
                      <a:fillRect/>
                    </a:stretch>
                  </pic:blipFill>
                  <pic:spPr>
                    <a:xfrm>
                      <a:off x="0" y="0"/>
                      <a:ext cx="5577840" cy="5691673"/>
                    </a:xfrm>
                    <a:prstGeom prst="rect"/>
                  </pic:spPr>
                </pic:pic>
              </a:graphicData>
            </a:graphic>
          </wp:inline>
        </w:drawing>
      </w:r>
    </w:p>
    <w:p>
      <w:pPr>
        <w:spacing w:after="240"/>
        <w:jc w:val="center"/>
      </w:pPr>
      <w:r>
        <w:rPr>
          <w:rFonts w:ascii="Times New Roman" w:hAnsi="Times New Roman"/>
          <w:i/>
          <w:color w:val="4E5D55"/>
          <w:sz w:val="18"/>
        </w:rPr>
        <w:t>Figure 3. Evidence, annotated message, and safe advice for the high-risk sample. Trigger phrases and the defanged link are highlighted in the message; reporting guidance appears below.</w:t>
      </w:r>
    </w:p>
    <w:p>
      <w:r>
        <w:br w:type="page"/>
      </w:r>
    </w:p>
    <w:p>
      <w:pPr>
        <w:spacing w:before="120" w:after="80"/>
        <w:jc w:val="center"/>
      </w:pPr>
      <w:r>
        <w:drawing>
          <wp:inline xmlns:a="http://schemas.openxmlformats.org/drawingml/2006/main" xmlns:pic="http://schemas.openxmlformats.org/drawingml/2006/picture">
            <wp:extent cx="5577840" cy="6431591"/>
            <wp:docPr id="4" name="Picture 4"/>
            <wp:cNvGraphicFramePr>
              <a:graphicFrameLocks noChangeAspect="1"/>
            </wp:cNvGraphicFramePr>
            <a:graphic>
              <a:graphicData uri="http://schemas.openxmlformats.org/drawingml/2006/picture">
                <pic:pic>
                  <pic:nvPicPr>
                    <pic:cNvPr id="0" name="04_low_risk_assessment.png"/>
                    <pic:cNvPicPr/>
                  </pic:nvPicPr>
                  <pic:blipFill>
                    <a:blip r:embed="rId14"/>
                    <a:stretch>
                      <a:fillRect/>
                    </a:stretch>
                  </pic:blipFill>
                  <pic:spPr>
                    <a:xfrm>
                      <a:off x="0" y="0"/>
                      <a:ext cx="5577840" cy="6431591"/>
                    </a:xfrm>
                    <a:prstGeom prst="rect"/>
                  </pic:spPr>
                </pic:pic>
              </a:graphicData>
            </a:graphic>
          </wp:inline>
        </w:drawing>
      </w:r>
    </w:p>
    <w:p>
      <w:pPr>
        <w:spacing w:after="240"/>
        <w:jc w:val="center"/>
      </w:pPr>
      <w:r>
        <w:rPr>
          <w:rFonts w:ascii="Times New Roman" w:hAnsi="Times New Roman"/>
          <w:i/>
          <w:color w:val="4E5D55"/>
          <w:sz w:val="18"/>
        </w:rPr>
        <w:t>Figure 4. Low-risk assessment for a genuine VIT circular. The model and rules return Low risk with a verified official sender and no supporting signals.</w:t>
      </w:r>
    </w:p>
    <w:p>
      <w:pPr>
        <w:spacing w:after="120"/>
        <w:jc w:val="both"/>
      </w:pPr>
      <w:r>
        <w:rPr>
          <w:rFonts w:ascii="Times New Roman" w:hAnsi="Times New Roman"/>
          <w:i w:val="0"/>
          <w:sz w:val="22"/>
        </w:rPr>
        <w:t>Accessibility was treated as part of the interface rather than a post-processing step. Text and background colours meet WCAG AA contrast, interactive targets are at least 44 pixels, focus rings are visible, the results region uses aria-live, and motion is disabled when the user prefers reduced motion. The layout collapses to a single column on narrow screens. The CSS and JavaScript URLs are versioned, and the HTML shell is served with Cache-Control: no-store so that a code change is visible on reload.</w:t>
      </w:r>
    </w:p>
    <w:p>
      <w:r>
        <w:br w:type="page"/>
      </w:r>
    </w:p>
    <w:p>
      <w:pPr>
        <w:pStyle w:val="Heading1"/>
      </w:pPr>
      <w:r>
        <w:t>9. Discussion</w:t>
      </w:r>
    </w:p>
    <w:p>
      <w:pPr>
        <w:pStyle w:val="Heading2"/>
      </w:pPr>
      <w:r>
        <w:t>9.1 Strengths</w:t>
      </w:r>
    </w:p>
    <w:p>
      <w:pPr>
        <w:pStyle w:val="ListBullet"/>
        <w:spacing w:after="60"/>
      </w:pPr>
      <w:r>
        <w:t>Dataset quality is treated as a first-class engineering problem. The URL-only shortcut, hard-negative share, near-duplicate leakage, and test size are measured and enforced by tests.</w:t>
      </w:r>
    </w:p>
    <w:p>
      <w:pPr>
        <w:pStyle w:val="ListBullet"/>
        <w:spacing w:after="60"/>
      </w:pPr>
      <w:r>
        <w:t>The split is grouped by cluster and by source, and the test set is frozen by hash. The reported numbers are therefore not inflated by row-level leakage.</w:t>
      </w:r>
    </w:p>
    <w:p>
      <w:pPr>
        <w:pStyle w:val="ListBullet"/>
        <w:spacing w:after="60"/>
      </w:pPr>
      <w:r>
        <w:t>The core model is small, fast, offline, and explainable. Its coefficients feed the evidence panel, and the rule layer provides evidence that a bag-of-words model alone would miss.</w:t>
      </w:r>
    </w:p>
    <w:p>
      <w:pPr>
        <w:pStyle w:val="ListBullet"/>
        <w:spacing w:after="60"/>
      </w:pPr>
      <w:r>
        <w:t>Safety is architectural, not advisory: URL analysis is pure text, links are defanged, and a socket-blocking test proves that no submitted link is opened.</w:t>
      </w:r>
    </w:p>
    <w:p>
      <w:pPr>
        <w:pStyle w:val="ListBullet"/>
        <w:spacing w:after="60"/>
      </w:pPr>
      <w:r>
        <w:t>The interface turns the explanation into evidence in the message, which is more useful for awareness than a bare probability.</w:t>
      </w:r>
    </w:p>
    <w:p>
      <w:pPr>
        <w:pStyle w:val="Heading2"/>
      </w:pPr>
      <w:r>
        <w:t>9.2 Error analysis</w:t>
      </w:r>
    </w:p>
    <w:p>
      <w:pPr>
        <w:spacing w:after="120"/>
        <w:jc w:val="both"/>
      </w:pPr>
      <w:r>
        <w:rPr>
          <w:rFonts w:ascii="Times New Roman" w:hAnsi="Times New Roman"/>
          <w:i w:val="0"/>
          <w:sz w:val="22"/>
        </w:rPr>
        <w:t>The core model's four false positives are legitimate messages with security vocabulary or links; the seven false negatives are phishing messages whose surface form overlaps with legitimate administrative mail. The constructed VIT test rows show a similar pattern at the final-label level: two legitimate messages (a password-expiry reminder and a fee-refund notice) are Suspicious, and one is routed to Uncertain. None is High Risk and none of the VIT phishing messages is missed.</w:t>
      </w:r>
    </w:p>
    <w:p>
      <w:pPr>
        <w:spacing w:after="120"/>
        <w:jc w:val="both"/>
      </w:pPr>
      <w:r>
        <w:rPr>
          <w:rFonts w:ascii="Times New Roman" w:hAnsi="Times New Roman"/>
          <w:i w:val="0"/>
          <w:sz w:val="22"/>
        </w:rPr>
        <w:t>The larger operational issue is the rule layer on the old SpamAssassin ham. The model keeps 149 of 153 legitimate messages below the threshold, but the composite score and the corroborated-signal rule push 56 of them into High Risk or Suspicious. This is not a model failure; it is a calibration failure in the decision layer. It is the first target for the next iteration.</w:t>
      </w:r>
    </w:p>
    <w:p>
      <w:pPr>
        <w:pStyle w:val="Heading2"/>
      </w:pPr>
      <w:r>
        <w:t>9.3 Comparison with the baseline</w:t>
      </w:r>
    </w:p>
    <w:p>
      <w:pPr>
        <w:spacing w:after="120"/>
        <w:jc w:val="both"/>
      </w:pPr>
      <w:r>
        <w:rPr>
          <w:rFonts w:ascii="Times New Roman" w:hAnsi="Times New Roman"/>
          <w:i w:val="0"/>
          <w:sz w:val="22"/>
        </w:rPr>
        <w:t>The core model improves precision by 8.6 percentage points, F1 by 2.8 points, and the false-positive rate by 5.9 points, at the cost of 3.4 points of recall. For an awareness tool, a false alarm is costly because it teaches users to ignore the tool, while a missed message can be caught by the rule layer or by the user's own review. The core model's balance is therefore defensible, but the recall drop should be monitored and the threshold revisited when more data is available.</w:t>
      </w:r>
    </w:p>
    <w:p>
      <w:pPr>
        <w:pStyle w:val="Heading2"/>
      </w:pPr>
      <w:r>
        <w:t>9.4 Threats to validity</w:t>
      </w:r>
    </w:p>
    <w:p>
      <w:pPr>
        <w:pStyle w:val="ListBullet"/>
        <w:spacing w:after="60"/>
      </w:pPr>
      <w:r>
        <w:t>Temporal drift: the legitimate source is two decades older than the phishing source.</w:t>
      </w:r>
    </w:p>
    <w:p>
      <w:pPr>
        <w:pStyle w:val="ListBullet"/>
        <w:spacing w:after="60"/>
      </w:pPr>
      <w:r>
        <w:t>Source/label confound: two of the three sources are single-class.</w:t>
      </w:r>
    </w:p>
    <w:p>
      <w:pPr>
        <w:pStyle w:val="ListBullet"/>
        <w:spacing w:after="60"/>
      </w:pPr>
      <w:r>
        <w:t>Synthetic VIT rows: the scenario is authored and may be easier or harder than a real campaign.</w:t>
      </w:r>
    </w:p>
    <w:p>
      <w:pPr>
        <w:pStyle w:val="ListBullet"/>
        <w:spacing w:after="60"/>
      </w:pPr>
      <w:r>
        <w:t>Small test set: 242 rows give wide confidence intervals around the reported rates.</w:t>
      </w:r>
    </w:p>
    <w:p>
      <w:pPr>
        <w:pStyle w:val="ListBullet"/>
        <w:spacing w:after="60"/>
      </w:pPr>
      <w:r>
        <w:t>User-supplied sender: the sender field is evidence, not authentication. Header analysis is future work.</w:t>
      </w:r>
    </w:p>
    <w:p>
      <w:pPr>
        <w:pStyle w:val="ListBullet"/>
        <w:spacing w:after="60"/>
      </w:pPr>
      <w:r>
        <w:t>No live URL intelligence: the system deliberately does not resolve or reputation-check links.</w:t>
      </w:r>
    </w:p>
    <w:p>
      <w:pPr>
        <w:pStyle w:val="ListBullet"/>
        <w:spacing w:after="60"/>
      </w:pPr>
      <w:r>
        <w:t>Rule-layer test reuse: the credential-disclosure rule was refined after inspecting VIT false positives, so the VIT final-label figures are development estimates; the model-level metrics are held out.</w:t>
      </w:r>
    </w:p>
    <w:p>
      <w:pPr>
        <w:pStyle w:val="Heading1"/>
      </w:pPr>
      <w:r>
        <w:t>10. Safety, Privacy, and Responsible Use</w:t>
      </w:r>
    </w:p>
    <w:p>
      <w:pPr>
        <w:pStyle w:val="ListBullet"/>
        <w:spacing w:after="60"/>
      </w:pPr>
      <w:r>
        <w:t>No outbound link access: the URL analyser parses text only. A test monkeypatches socket.connect and fails if any analysis attempts a connection.</w:t>
      </w:r>
    </w:p>
    <w:p>
      <w:pPr>
        <w:pStyle w:val="ListBullet"/>
        <w:spacing w:after="60"/>
      </w:pPr>
      <w:r>
        <w:t>Defanged display: links are shown as hxxp:// and [.] and are never rendered as clickable anchors in the assessment.</w:t>
      </w:r>
    </w:p>
    <w:p>
      <w:pPr>
        <w:pStyle w:val="ListBullet"/>
        <w:spacing w:after="60"/>
      </w:pPr>
      <w:r>
        <w:t>No automatic action: the prototype never reports, blocks, deletes, or forwards a message.</w:t>
      </w:r>
    </w:p>
    <w:p>
      <w:pPr>
        <w:pStyle w:val="ListBullet"/>
        <w:spacing w:after="60"/>
      </w:pPr>
      <w:r>
        <w:t>Local processing: the message is sent to the local FastAPI service; no third-party model or reputation API is called.</w:t>
      </w:r>
    </w:p>
    <w:p>
      <w:pPr>
        <w:pStyle w:val="ListBullet"/>
        <w:spacing w:after="60"/>
      </w:pPr>
      <w:r>
        <w:t>Data minimisation: public-corpus sender local-parts are masked in the dataset; emails and Indian mobile numbers are redacted during dataset cleaning.</w:t>
      </w:r>
    </w:p>
    <w:p>
      <w:pPr>
        <w:pStyle w:val="ListBullet"/>
        <w:spacing w:after="60"/>
      </w:pPr>
      <w:r>
        <w:t>Human review: the label is advisory. The interface tells the user to verify through the official portal and to contact the IT Helpdesk.</w:t>
      </w:r>
    </w:p>
    <w:p>
      <w:pPr>
        <w:pStyle w:val="ListBullet"/>
        <w:spacing w:after="60"/>
      </w:pPr>
      <w:r>
        <w:t>Reporting guidance: the interface lists the VIT IT Helpdesk, the National Cyber Crime Reporting Portal (cybercrime.gov.in), and the 1930 helpline.</w:t>
      </w:r>
    </w:p>
    <w:p>
      <w:pPr>
        <w:spacing w:after="120"/>
        <w:jc w:val="both"/>
      </w:pPr>
      <w:r>
        <w:rPr>
          <w:rFonts w:ascii="Times New Roman" w:hAnsi="Times New Roman"/>
          <w:i w:val="0"/>
          <w:sz w:val="22"/>
        </w:rPr>
        <w:t>The tool can be wrong. Its purpose is to slow the user down and show the evidence, not to replace institutional IT security or law-enforcement reporting. The report and the interface state this explicitly.</w:t>
      </w:r>
    </w:p>
    <w:p>
      <w:pPr>
        <w:pStyle w:val="Heading1"/>
      </w:pPr>
      <w:r>
        <w:t>11. Limitations and Future Work</w:t>
      </w:r>
    </w:p>
    <w:p>
      <w:pPr>
        <w:pStyle w:val="Heading2"/>
      </w:pPr>
      <w:r>
        <w:t>11.1 Limitations</w:t>
      </w:r>
    </w:p>
    <w:p>
      <w:pPr>
        <w:pStyle w:val="ListBullet"/>
        <w:spacing w:after="60"/>
      </w:pPr>
      <w:r>
        <w:t>The pilot is small: 1,290 rows and a 242-row test set. The reported rates are indicative, not final.</w:t>
      </w:r>
    </w:p>
    <w:p>
      <w:pPr>
        <w:pStyle w:val="ListBullet"/>
        <w:spacing w:after="60"/>
      </w:pPr>
      <w:r>
        <w:t>The public sources are label-specific and separated by two decades; source style and era can influence the model.</w:t>
      </w:r>
    </w:p>
    <w:p>
      <w:pPr>
        <w:pStyle w:val="ListBullet"/>
        <w:spacing w:after="60"/>
      </w:pPr>
      <w:r>
        <w:t>The VIT scenario rows are synthetic and authored by the project team.</w:t>
      </w:r>
    </w:p>
    <w:p>
      <w:pPr>
        <w:pStyle w:val="ListBullet"/>
        <w:spacing w:after="60"/>
      </w:pPr>
      <w:r>
        <w:t>The pilot is English-only and has no real SMS corpus yet.</w:t>
      </w:r>
    </w:p>
    <w:p>
      <w:pPr>
        <w:pStyle w:val="ListBullet"/>
        <w:spacing w:after="60"/>
      </w:pPr>
      <w:r>
        <w:t>The final rule layer over-flags general legitimate mail, especially the old SpamAssassin ham.</w:t>
      </w:r>
    </w:p>
    <w:p>
      <w:pPr>
        <w:pStyle w:val="ListBullet"/>
        <w:spacing w:after="60"/>
      </w:pPr>
      <w:r>
        <w:t>The sender field is user-supplied; the system does not authenticate SPF, DKIM, or DMARC headers.</w:t>
      </w:r>
    </w:p>
    <w:p>
      <w:pPr>
        <w:pStyle w:val="ListBullet"/>
        <w:spacing w:after="60"/>
      </w:pPr>
      <w:r>
        <w:t>The credential-disclosure rule was refined after inspecting VIT test false positives; the VIT final-label rows are therefore development results for the rule layer. A fully untouched rule evaluation is future work.</w:t>
      </w:r>
    </w:p>
    <w:p>
      <w:pPr>
        <w:pStyle w:val="ListBullet"/>
        <w:spacing w:after="60"/>
      </w:pPr>
      <w:r>
        <w:t>TF-IDF with a linear classifier can miss novel phrasing that a contextual language model would capture; the trade-off is speed, offline operation, and explainability.</w:t>
      </w:r>
    </w:p>
    <w:p>
      <w:pPr>
        <w:pStyle w:val="Heading2"/>
      </w:pPr>
      <w:r>
        <w:t>11.2 Future work</w:t>
      </w:r>
    </w:p>
    <w:p>
      <w:pPr>
        <w:pStyle w:val="ListBullet"/>
        <w:spacing w:after="60"/>
      </w:pPr>
      <w:r>
        <w:t>Calibrate the final decision layer: widen the Uncertain band, reduce the rule boost for weak cues, and measure the final-label false-positive rate as a first-class metric.</w:t>
      </w:r>
    </w:p>
    <w:p>
      <w:pPr>
        <w:pStyle w:val="ListBullet"/>
        <w:spacing w:after="60"/>
      </w:pPr>
      <w:r>
        <w:t>Add the UCI SMS Spam Collection (CC BY 4.0) and run the SMS-to-email and email-to-SMS cross-source experiments.</w:t>
      </w:r>
    </w:p>
    <w:p>
      <w:pPr>
        <w:pStyle w:val="ListBullet"/>
        <w:spacing w:after="60"/>
      </w:pPr>
      <w:r>
        <w:t>Add Hindi and Tamil data, language detection, and per-language evaluation.</w:t>
      </w:r>
    </w:p>
    <w:p>
      <w:pPr>
        <w:pStyle w:val="ListBullet"/>
        <w:spacing w:after="60"/>
      </w:pPr>
      <w:r>
        <w:t>Add raw header analysis for Reply-To/From mismatch and SPF/DKIM/DMARC results.</w:t>
      </w:r>
    </w:p>
    <w:p>
      <w:pPr>
        <w:pStyle w:val="ListBullet"/>
        <w:spacing w:after="60"/>
      </w:pPr>
      <w:r>
        <w:t>Add a Bayesian network and a sentence-structure HMM, then compare each component and the fusion model in an ablation.</w:t>
      </w:r>
    </w:p>
    <w:p>
      <w:pPr>
        <w:pStyle w:val="ListBullet"/>
        <w:spacing w:after="60"/>
      </w:pPr>
      <w:r>
        <w:t>Add campaign clustering, OCR/QR analysis, a performance dashboard, and the cyber-safety quiz.</w:t>
      </w:r>
    </w:p>
    <w:p>
      <w:pPr>
        <w:pStyle w:val="ListBullet"/>
        <w:spacing w:after="60"/>
      </w:pPr>
      <w:r>
        <w:t>Expand the constructed VIT corpus and have the messages reviewed by students and the IT Helpdesk.</w:t>
      </w:r>
    </w:p>
    <w:p>
      <w:pPr>
        <w:pStyle w:val="Heading1"/>
      </w:pPr>
      <w:r>
        <w:t>12. Conclusion</w:t>
      </w:r>
    </w:p>
    <w:p>
      <w:pPr>
        <w:spacing w:after="120"/>
        <w:jc w:val="both"/>
      </w:pPr>
      <w:r>
        <w:rPr>
          <w:rFonts w:ascii="Times New Roman" w:hAnsi="Times New Roman"/>
          <w:i w:val="0"/>
          <w:sz w:val="22"/>
        </w:rPr>
        <w:t>PhishGuard meets the Question 5 requirements: it uses a documented labelled dataset of legitimate and phishing messages; it detects urgency, credential requests, suspicious link structure, and sender mismatch where available; it displays a risk label with a ranked explanation; it never opens a submitted link; it evaluates on a frozen test set with precision, recall, F1, accuracy, and confusion matrices; and it provides safe reporting advice.</w:t>
      </w:r>
    </w:p>
    <w:p>
      <w:pPr>
        <w:spacing w:after="120"/>
        <w:jc w:val="both"/>
      </w:pPr>
      <w:r>
        <w:rPr>
          <w:rFonts w:ascii="Times New Roman" w:hAnsi="Times New Roman"/>
          <w:i w:val="0"/>
          <w:sz w:val="22"/>
        </w:rPr>
        <w:t>The core model achieves 95.45% accuracy, 95.35% precision, 92.13% recall, a 93.71% F1-score, and a 2.61% false-positive rate on the 242-row frozen test set. The VIT scenario is handled well at the final-label level: zero High Risk false positives, zero missed phishing, two Suspicious false positives, and one Uncertain routing out of eighteen legitimate VIT rows. The main weakness is the final rule layer's conservatism on general legitimate mail, which is documented rather than hidden.</w:t>
      </w:r>
    </w:p>
    <w:p>
      <w:pPr>
        <w:spacing w:after="120"/>
        <w:jc w:val="both"/>
      </w:pPr>
      <w:r>
        <w:rPr>
          <w:rFonts w:ascii="Times New Roman" w:hAnsi="Times New Roman"/>
          <w:i w:val="0"/>
          <w:sz w:val="22"/>
        </w:rPr>
        <w:t>The project's most important contribution is not a single accuracy number. It is the combination of a leakage-resistant dataset, an explainable model, a safety-first link policy, and an interface that shows the evidence. That combination gives a student a reason to pause before clicking, which is the behaviour the Q5 scenario is designed to change.</w:t>
      </w:r>
    </w:p>
    <w:p>
      <w:r>
        <w:br w:type="page"/>
      </w:r>
    </w:p>
    <w:p>
      <w:pPr>
        <w:pStyle w:val="Heading1"/>
      </w:pPr>
      <w:r>
        <w:t>Appendix A. Dataset Schema</w:t>
      </w:r>
    </w:p>
    <w:p>
      <w:pPr>
        <w:keepNext/>
        <w:spacing w:before="200" w:after="80"/>
      </w:pPr>
      <w:r>
        <w:rPr>
          <w:rFonts w:ascii="Times New Roman" w:hAnsi="Times New Roman"/>
          <w:b/>
          <w:color w:val="1D2A24"/>
          <w:sz w:val="19"/>
        </w:rPr>
        <w:t>Table 10. Dataset schema.</w:t>
      </w:r>
    </w:p>
    <w:tbl>
      <w:tblPr>
        <w:tblStyle w:val="TableGrid"/>
        <w:tblW w:type="auto" w:w="0"/>
        <w:jc w:val="center"/>
        <w:tblLayout w:type="fixed"/>
        <w:tblLook w:firstColumn="1" w:firstRow="1" w:lastColumn="0" w:lastRow="0" w:noHBand="0" w:noVBand="1" w:val="04A0"/>
      </w:tblPr>
      <w:tblGrid>
        <w:gridCol w:w="1728"/>
        <w:gridCol w:w="7200"/>
      </w:tblGrid>
      <w:tr>
        <w:trPr>
          <w:cantSplit/>
          <w:tblHeader/>
        </w:trPr>
        <w:tc>
          <w:tcPr>
            <w:tcW w:type="dxa" w:w="1728"/>
            <w:shd w:val="clear" w:color="auto" w:fill="EEF1EA"/>
          </w:tcPr>
          <w:p>
            <w:pPr>
              <w:spacing w:after="20" w:before="20"/>
            </w:pPr>
            <w:r/>
            <w:r>
              <w:rPr>
                <w:rFonts w:ascii="Times New Roman" w:hAnsi="Times New Roman"/>
                <w:b/>
                <w:color w:val="1D2A24"/>
                <w:sz w:val="18"/>
              </w:rPr>
              <w:t>Column</w:t>
            </w:r>
          </w:p>
        </w:tc>
        <w:tc>
          <w:tcPr>
            <w:tcW w:type="dxa" w:w="7200"/>
            <w:shd w:val="clear" w:color="auto" w:fill="EEF1EA"/>
          </w:tcPr>
          <w:p>
            <w:pPr>
              <w:spacing w:after="20" w:before="20"/>
            </w:pPr>
            <w:r/>
            <w:r>
              <w:rPr>
                <w:rFonts w:ascii="Times New Roman" w:hAnsi="Times New Roman"/>
                <w:b/>
                <w:color w:val="1D2A24"/>
                <w:sz w:val="18"/>
              </w:rPr>
              <w:t>Meaning</w:t>
            </w:r>
          </w:p>
        </w:tc>
      </w:tr>
      <w:tr>
        <w:trPr>
          <w:cantSplit/>
        </w:trPr>
        <w:tc>
          <w:tcPr>
            <w:tcW w:type="dxa" w:w="1728"/>
          </w:tcPr>
          <w:p>
            <w:pPr>
              <w:spacing w:after="20" w:before="20"/>
            </w:pPr>
            <w:r/>
            <w:r>
              <w:rPr>
                <w:rFonts w:ascii="Times New Roman" w:hAnsi="Times New Roman"/>
                <w:b w:val="0"/>
                <w:color w:val="1A1A1A"/>
                <w:sz w:val="18"/>
              </w:rPr>
              <w:t>id</w:t>
            </w:r>
          </w:p>
        </w:tc>
        <w:tc>
          <w:tcPr>
            <w:tcW w:type="dxa" w:w="7200"/>
          </w:tcPr>
          <w:p>
            <w:pPr>
              <w:spacing w:after="20" w:before="20"/>
            </w:pPr>
            <w:r/>
            <w:r>
              <w:rPr>
                <w:rFonts w:ascii="Times New Roman" w:hAnsi="Times New Roman"/>
                <w:b w:val="0"/>
                <w:color w:val="1A1A1A"/>
                <w:sz w:val="18"/>
              </w:rPr>
              <w:t>Stable deterministic identifier.</w:t>
            </w:r>
          </w:p>
        </w:tc>
      </w:tr>
      <w:tr>
        <w:trPr>
          <w:cantSplit/>
        </w:trPr>
        <w:tc>
          <w:tcPr>
            <w:tcW w:type="dxa" w:w="1728"/>
          </w:tcPr>
          <w:p>
            <w:pPr>
              <w:spacing w:after="20" w:before="20"/>
            </w:pPr>
            <w:r/>
            <w:r>
              <w:rPr>
                <w:rFonts w:ascii="Times New Roman" w:hAnsi="Times New Roman"/>
                <w:b w:val="0"/>
                <w:color w:val="1A1A1A"/>
                <w:sz w:val="18"/>
              </w:rPr>
              <w:t>text</w:t>
            </w:r>
          </w:p>
        </w:tc>
        <w:tc>
          <w:tcPr>
            <w:tcW w:type="dxa" w:w="7200"/>
          </w:tcPr>
          <w:p>
            <w:pPr>
              <w:spacing w:after="20" w:before="20"/>
            </w:pPr>
            <w:r/>
            <w:r>
              <w:rPr>
                <w:rFonts w:ascii="Times New Roman" w:hAnsi="Times New Roman"/>
                <w:b w:val="0"/>
                <w:color w:val="1A1A1A"/>
                <w:sz w:val="18"/>
              </w:rPr>
              <w:t>Cleaned body: HTML stripped, quotes and signatures trimmed, PII redacted.</w:t>
            </w:r>
          </w:p>
        </w:tc>
      </w:tr>
      <w:tr>
        <w:trPr>
          <w:cantSplit/>
        </w:trPr>
        <w:tc>
          <w:tcPr>
            <w:tcW w:type="dxa" w:w="1728"/>
          </w:tcPr>
          <w:p>
            <w:pPr>
              <w:spacing w:after="20" w:before="20"/>
            </w:pPr>
            <w:r/>
            <w:r>
              <w:rPr>
                <w:rFonts w:ascii="Times New Roman" w:hAnsi="Times New Roman"/>
                <w:b w:val="0"/>
                <w:color w:val="1A1A1A"/>
                <w:sz w:val="18"/>
              </w:rPr>
              <w:t>subject</w:t>
            </w:r>
          </w:p>
        </w:tc>
        <w:tc>
          <w:tcPr>
            <w:tcW w:type="dxa" w:w="7200"/>
          </w:tcPr>
          <w:p>
            <w:pPr>
              <w:spacing w:after="20" w:before="20"/>
            </w:pPr>
            <w:r/>
            <w:r>
              <w:rPr>
                <w:rFonts w:ascii="Times New Roman" w:hAnsi="Times New Roman"/>
                <w:b w:val="0"/>
                <w:color w:val="1A1A1A"/>
                <w:sz w:val="18"/>
              </w:rPr>
              <w:t>Cleaned subject line, or null.</w:t>
            </w:r>
          </w:p>
        </w:tc>
      </w:tr>
      <w:tr>
        <w:trPr>
          <w:cantSplit/>
        </w:trPr>
        <w:tc>
          <w:tcPr>
            <w:tcW w:type="dxa" w:w="1728"/>
          </w:tcPr>
          <w:p>
            <w:pPr>
              <w:spacing w:after="20" w:before="20"/>
            </w:pPr>
            <w:r/>
            <w:r>
              <w:rPr>
                <w:rFonts w:ascii="Times New Roman" w:hAnsi="Times New Roman"/>
                <w:b w:val="0"/>
                <w:color w:val="1A1A1A"/>
                <w:sz w:val="18"/>
              </w:rPr>
              <w:t>sender</w:t>
            </w:r>
          </w:p>
        </w:tc>
        <w:tc>
          <w:tcPr>
            <w:tcW w:type="dxa" w:w="7200"/>
          </w:tcPr>
          <w:p>
            <w:pPr>
              <w:spacing w:after="20" w:before="20"/>
            </w:pPr>
            <w:r/>
            <w:r>
              <w:rPr>
                <w:rFonts w:ascii="Times New Roman" w:hAnsi="Times New Roman"/>
                <w:b w:val="0"/>
                <w:color w:val="1A1A1A"/>
                <w:sz w:val="18"/>
              </w:rPr>
              <w:t>Sender domain only (***@domain) for public corpora; full synthetic sender for constructed rows.</w:t>
            </w:r>
          </w:p>
        </w:tc>
      </w:tr>
      <w:tr>
        <w:trPr>
          <w:cantSplit/>
        </w:trPr>
        <w:tc>
          <w:tcPr>
            <w:tcW w:type="dxa" w:w="1728"/>
          </w:tcPr>
          <w:p>
            <w:pPr>
              <w:spacing w:after="20" w:before="20"/>
            </w:pPr>
            <w:r/>
            <w:r>
              <w:rPr>
                <w:rFonts w:ascii="Times New Roman" w:hAnsi="Times New Roman"/>
                <w:b w:val="0"/>
                <w:color w:val="1A1A1A"/>
                <w:sz w:val="18"/>
              </w:rPr>
              <w:t>label</w:t>
            </w:r>
          </w:p>
        </w:tc>
        <w:tc>
          <w:tcPr>
            <w:tcW w:type="dxa" w:w="7200"/>
          </w:tcPr>
          <w:p>
            <w:pPr>
              <w:spacing w:after="20" w:before="20"/>
            </w:pPr>
            <w:r/>
            <w:r>
              <w:rPr>
                <w:rFonts w:ascii="Times New Roman" w:hAnsi="Times New Roman"/>
                <w:b w:val="0"/>
                <w:color w:val="1A1A1A"/>
                <w:sz w:val="18"/>
              </w:rPr>
              <w:t>1 = phishing, 0 = legitimate.</w:t>
            </w:r>
          </w:p>
        </w:tc>
      </w:tr>
      <w:tr>
        <w:trPr>
          <w:cantSplit/>
        </w:trPr>
        <w:tc>
          <w:tcPr>
            <w:tcW w:type="dxa" w:w="1728"/>
          </w:tcPr>
          <w:p>
            <w:pPr>
              <w:spacing w:after="20" w:before="20"/>
            </w:pPr>
            <w:r/>
            <w:r>
              <w:rPr>
                <w:rFonts w:ascii="Times New Roman" w:hAnsi="Times New Roman"/>
                <w:b w:val="0"/>
                <w:color w:val="1A1A1A"/>
                <w:sz w:val="18"/>
              </w:rPr>
              <w:t>category</w:t>
            </w:r>
          </w:p>
        </w:tc>
        <w:tc>
          <w:tcPr>
            <w:tcW w:type="dxa" w:w="7200"/>
          </w:tcPr>
          <w:p>
            <w:pPr>
              <w:spacing w:after="20" w:before="20"/>
            </w:pPr>
            <w:r/>
            <w:r>
              <w:rPr>
                <w:rFonts w:ascii="Times New Roman" w:hAnsi="Times New Roman"/>
                <w:b w:val="0"/>
                <w:color w:val="1A1A1A"/>
                <w:sz w:val="18"/>
              </w:rPr>
              <w:t>phishing or legit.</w:t>
            </w:r>
          </w:p>
        </w:tc>
      </w:tr>
      <w:tr>
        <w:trPr>
          <w:cantSplit/>
        </w:trPr>
        <w:tc>
          <w:tcPr>
            <w:tcW w:type="dxa" w:w="1728"/>
          </w:tcPr>
          <w:p>
            <w:pPr>
              <w:spacing w:after="20" w:before="20"/>
            </w:pPr>
            <w:r/>
            <w:r>
              <w:rPr>
                <w:rFonts w:ascii="Times New Roman" w:hAnsi="Times New Roman"/>
                <w:b w:val="0"/>
                <w:color w:val="1A1A1A"/>
                <w:sz w:val="18"/>
              </w:rPr>
              <w:t>source</w:t>
            </w:r>
          </w:p>
        </w:tc>
        <w:tc>
          <w:tcPr>
            <w:tcW w:type="dxa" w:w="7200"/>
          </w:tcPr>
          <w:p>
            <w:pPr>
              <w:spacing w:after="20" w:before="20"/>
            </w:pPr>
            <w:r/>
            <w:r>
              <w:rPr>
                <w:rFonts w:ascii="Times New Roman" w:hAnsi="Times New Roman"/>
                <w:b w:val="0"/>
                <w:color w:val="1A1A1A"/>
                <w:sz w:val="18"/>
              </w:rPr>
              <w:t>nazario, spamassassin, or constructed_vit.</w:t>
            </w:r>
          </w:p>
        </w:tc>
      </w:tr>
      <w:tr>
        <w:trPr>
          <w:cantSplit/>
        </w:trPr>
        <w:tc>
          <w:tcPr>
            <w:tcW w:type="dxa" w:w="1728"/>
          </w:tcPr>
          <w:p>
            <w:pPr>
              <w:spacing w:after="20" w:before="20"/>
            </w:pPr>
            <w:r/>
            <w:r>
              <w:rPr>
                <w:rFonts w:ascii="Times New Roman" w:hAnsi="Times New Roman"/>
                <w:b w:val="0"/>
                <w:color w:val="1A1A1A"/>
                <w:sz w:val="18"/>
              </w:rPr>
              <w:t>campaign</w:t>
            </w:r>
          </w:p>
        </w:tc>
        <w:tc>
          <w:tcPr>
            <w:tcW w:type="dxa" w:w="7200"/>
          </w:tcPr>
          <w:p>
            <w:pPr>
              <w:spacing w:after="20" w:before="20"/>
            </w:pPr>
            <w:r/>
            <w:r>
              <w:rPr>
                <w:rFonts w:ascii="Times New Roman" w:hAnsi="Times New Roman"/>
                <w:b w:val="0"/>
                <w:color w:val="1A1A1A"/>
                <w:sz w:val="18"/>
              </w:rPr>
              <w:t>Coarse provenance such as nazario:2023, sa:hard_ham, or vit:P01.</w:t>
            </w:r>
          </w:p>
        </w:tc>
      </w:tr>
      <w:tr>
        <w:trPr>
          <w:cantSplit/>
        </w:trPr>
        <w:tc>
          <w:tcPr>
            <w:tcW w:type="dxa" w:w="1728"/>
          </w:tcPr>
          <w:p>
            <w:pPr>
              <w:spacing w:after="20" w:before="20"/>
            </w:pPr>
            <w:r/>
            <w:r>
              <w:rPr>
                <w:rFonts w:ascii="Times New Roman" w:hAnsi="Times New Roman"/>
                <w:b w:val="0"/>
                <w:color w:val="1A1A1A"/>
                <w:sz w:val="18"/>
              </w:rPr>
              <w:t>cluster_id</w:t>
            </w:r>
          </w:p>
        </w:tc>
        <w:tc>
          <w:tcPr>
            <w:tcW w:type="dxa" w:w="7200"/>
          </w:tcPr>
          <w:p>
            <w:pPr>
              <w:spacing w:after="20" w:before="20"/>
            </w:pPr>
            <w:r/>
            <w:r>
              <w:rPr>
                <w:rFonts w:ascii="Times New Roman" w:hAnsi="Times New Roman"/>
                <w:b w:val="0"/>
                <w:color w:val="1A1A1A"/>
                <w:sz w:val="18"/>
              </w:rPr>
              <w:t>Near-duplicate group used for leakage-resistant splitting.</w:t>
            </w:r>
          </w:p>
        </w:tc>
      </w:tr>
      <w:tr>
        <w:trPr>
          <w:cantSplit/>
        </w:trPr>
        <w:tc>
          <w:tcPr>
            <w:tcW w:type="dxa" w:w="1728"/>
          </w:tcPr>
          <w:p>
            <w:pPr>
              <w:spacing w:after="20" w:before="20"/>
            </w:pPr>
            <w:r/>
            <w:r>
              <w:rPr>
                <w:rFonts w:ascii="Times New Roman" w:hAnsi="Times New Roman"/>
                <w:b w:val="0"/>
                <w:color w:val="1A1A1A"/>
                <w:sz w:val="18"/>
              </w:rPr>
              <w:t>language</w:t>
            </w:r>
          </w:p>
        </w:tc>
        <w:tc>
          <w:tcPr>
            <w:tcW w:type="dxa" w:w="7200"/>
          </w:tcPr>
          <w:p>
            <w:pPr>
              <w:spacing w:after="20" w:before="20"/>
            </w:pPr>
            <w:r/>
            <w:r>
              <w:rPr>
                <w:rFonts w:ascii="Times New Roman" w:hAnsi="Times New Roman"/>
                <w:b w:val="0"/>
                <w:color w:val="1A1A1A"/>
                <w:sz w:val="18"/>
              </w:rPr>
              <w:t>en in this pilot.</w:t>
            </w:r>
          </w:p>
        </w:tc>
      </w:tr>
      <w:tr>
        <w:trPr>
          <w:cantSplit/>
        </w:trPr>
        <w:tc>
          <w:tcPr>
            <w:tcW w:type="dxa" w:w="1728"/>
          </w:tcPr>
          <w:p>
            <w:pPr>
              <w:spacing w:after="20" w:before="20"/>
            </w:pPr>
            <w:r/>
            <w:r>
              <w:rPr>
                <w:rFonts w:ascii="Times New Roman" w:hAnsi="Times New Roman"/>
                <w:b w:val="0"/>
                <w:color w:val="1A1A1A"/>
                <w:sz w:val="18"/>
              </w:rPr>
              <w:t>is_synthetic</w:t>
            </w:r>
          </w:p>
        </w:tc>
        <w:tc>
          <w:tcPr>
            <w:tcW w:type="dxa" w:w="7200"/>
          </w:tcPr>
          <w:p>
            <w:pPr>
              <w:spacing w:after="20" w:before="20"/>
            </w:pPr>
            <w:r/>
            <w:r>
              <w:rPr>
                <w:rFonts w:ascii="Times New Roman" w:hAnsi="Times New Roman"/>
                <w:b w:val="0"/>
                <w:color w:val="1A1A1A"/>
                <w:sz w:val="18"/>
              </w:rPr>
              <w:t>True only for the constructed VIT corpus.</w:t>
            </w:r>
          </w:p>
        </w:tc>
      </w:tr>
      <w:tr>
        <w:trPr>
          <w:cantSplit/>
        </w:trPr>
        <w:tc>
          <w:tcPr>
            <w:tcW w:type="dxa" w:w="1728"/>
          </w:tcPr>
          <w:p>
            <w:pPr>
              <w:spacing w:after="20" w:before="20"/>
            </w:pPr>
            <w:r/>
            <w:r>
              <w:rPr>
                <w:rFonts w:ascii="Times New Roman" w:hAnsi="Times New Roman"/>
                <w:b w:val="0"/>
                <w:color w:val="1A1A1A"/>
                <w:sz w:val="18"/>
              </w:rPr>
              <w:t>license</w:t>
            </w:r>
          </w:p>
        </w:tc>
        <w:tc>
          <w:tcPr>
            <w:tcW w:type="dxa" w:w="7200"/>
          </w:tcPr>
          <w:p>
            <w:pPr>
              <w:spacing w:after="20" w:before="20"/>
            </w:pPr>
            <w:r/>
            <w:r>
              <w:rPr>
                <w:rFonts w:ascii="Times New Roman" w:hAnsi="Times New Roman"/>
                <w:b w:val="0"/>
                <w:color w:val="1A1A1A"/>
                <w:sz w:val="18"/>
              </w:rPr>
              <w:t>Per-source licence tag.</w:t>
            </w:r>
          </w:p>
        </w:tc>
      </w:tr>
      <w:tr>
        <w:trPr>
          <w:cantSplit/>
        </w:trPr>
        <w:tc>
          <w:tcPr>
            <w:tcW w:type="dxa" w:w="1728"/>
          </w:tcPr>
          <w:p>
            <w:pPr>
              <w:spacing w:after="20" w:before="20"/>
            </w:pPr>
            <w:r/>
            <w:r>
              <w:rPr>
                <w:rFonts w:ascii="Times New Roman" w:hAnsi="Times New Roman"/>
                <w:b w:val="0"/>
                <w:color w:val="1A1A1A"/>
                <w:sz w:val="18"/>
              </w:rPr>
              <w:t>split</w:t>
            </w:r>
          </w:p>
        </w:tc>
        <w:tc>
          <w:tcPr>
            <w:tcW w:type="dxa" w:w="7200"/>
          </w:tcPr>
          <w:p>
            <w:pPr>
              <w:spacing w:after="20" w:before="20"/>
            </w:pPr>
            <w:r/>
            <w:r>
              <w:rPr>
                <w:rFonts w:ascii="Times New Roman" w:hAnsi="Times New Roman"/>
                <w:b w:val="0"/>
                <w:color w:val="1A1A1A"/>
                <w:sz w:val="18"/>
              </w:rPr>
              <w:t>train, val, or test.</w:t>
            </w:r>
          </w:p>
        </w:tc>
      </w:tr>
      <w:tr>
        <w:trPr>
          <w:cantSplit/>
        </w:trPr>
        <w:tc>
          <w:tcPr>
            <w:tcW w:type="dxa" w:w="1728"/>
          </w:tcPr>
          <w:p>
            <w:pPr>
              <w:spacing w:after="20" w:before="20"/>
            </w:pPr>
            <w:r/>
            <w:r>
              <w:rPr>
                <w:rFonts w:ascii="Times New Roman" w:hAnsi="Times New Roman"/>
                <w:b w:val="0"/>
                <w:color w:val="1A1A1A"/>
                <w:sz w:val="18"/>
              </w:rPr>
              <w:t>notes</w:t>
            </w:r>
          </w:p>
        </w:tc>
        <w:tc>
          <w:tcPr>
            <w:tcW w:type="dxa" w:w="7200"/>
          </w:tcPr>
          <w:p>
            <w:pPr>
              <w:spacing w:after="20" w:before="20"/>
            </w:pPr>
            <w:r/>
            <w:r>
              <w:rPr>
                <w:rFonts w:ascii="Times New Roman" w:hAnsi="Times New Roman"/>
                <w:b w:val="0"/>
                <w:color w:val="1A1A1A"/>
                <w:sz w:val="18"/>
              </w:rPr>
              <w:t>Cleaning warnings or scenario/tactic label.</w:t>
            </w:r>
          </w:p>
        </w:tc>
      </w:tr>
    </w:tbl>
    <w:p>
      <w:r>
        <w:br w:type="page"/>
      </w:r>
    </w:p>
    <w:p>
      <w:pPr>
        <w:pStyle w:val="Heading1"/>
      </w:pPr>
      <w:r>
        <w:t>Appendix B. Reproduction Commands</w:t>
      </w:r>
    </w:p>
    <w:p>
      <w:pPr>
        <w:spacing w:after="120"/>
        <w:jc w:val="both"/>
      </w:pPr>
      <w:r>
        <w:rPr>
          <w:rFonts w:ascii="Times New Roman" w:hAnsi="Times New Roman"/>
          <w:i w:val="0"/>
          <w:sz w:val="22"/>
        </w:rPr>
        <w:t>The processed dataset and the trained artifacts are committed. The following commands rebuild the dataset, retrain both models, evaluate them, and start the application.</w:t>
      </w:r>
    </w:p>
    <w:tbl>
      <w:tblPr>
        <w:tblStyle w:val="TableGrid"/>
        <w:tblW w:type="auto" w:w="0"/>
        <w:jc w:val="center"/>
        <w:tblLook w:firstColumn="1" w:firstRow="1" w:lastColumn="0" w:lastRow="0" w:noHBand="0" w:noVBand="1" w:val="04A0"/>
      </w:tblPr>
      <w:tblGrid>
        <w:gridCol w:w="9026"/>
      </w:tblGrid>
      <w:tr>
        <w:tc>
          <w:tcPr>
            <w:tcW w:type="dxa" w:w="9026"/>
            <w:shd w:val="clear" w:color="auto" w:fill="F5F6F1"/>
          </w:tcPr>
          <w:p>
            <w:pPr>
              <w:spacing w:after="0" w:line="240" w:lineRule="auto"/>
            </w:pPr>
            <w:r/>
            <w:r>
              <w:rPr>
                <w:rFonts w:ascii="Consolas" w:hAnsi="Consolas"/>
                <w:color w:val="1D2A24"/>
                <w:sz w:val="17"/>
              </w:rPr>
              <w:t>python -m training.fetch_sources --dest datasets/raw/external --extract</w:t>
            </w:r>
          </w:p>
          <w:p>
            <w:pPr>
              <w:spacing w:after="0" w:line="240" w:lineRule="auto"/>
            </w:pPr>
            <w:r>
              <w:rPr>
                <w:rFonts w:ascii="Consolas" w:hAnsi="Consolas"/>
                <w:color w:val="1D2A24"/>
                <w:sz w:val="17"/>
              </w:rPr>
              <w:t>python -m training.build_dataset</w:t>
            </w:r>
          </w:p>
          <w:p>
            <w:pPr>
              <w:spacing w:after="0" w:line="240" w:lineRule="auto"/>
            </w:pPr>
            <w:r>
              <w:rPr>
                <w:rFonts w:ascii="Consolas" w:hAnsi="Consolas"/>
                <w:color w:val="1D2A24"/>
                <w:sz w:val="17"/>
              </w:rPr>
              <w:t>python -m training.train_baseline</w:t>
            </w:r>
          </w:p>
          <w:p>
            <w:pPr>
              <w:spacing w:after="0" w:line="240" w:lineRule="auto"/>
            </w:pPr>
            <w:r>
              <w:rPr>
                <w:rFonts w:ascii="Consolas" w:hAnsi="Consolas"/>
                <w:color w:val="1D2A24"/>
                <w:sz w:val="17"/>
              </w:rPr>
              <w:t>python -m training.train</w:t>
            </w:r>
          </w:p>
          <w:p>
            <w:pPr>
              <w:spacing w:after="0" w:line="240" w:lineRule="auto"/>
            </w:pPr>
            <w:r>
              <w:rPr>
                <w:rFonts w:ascii="Consolas" w:hAnsi="Consolas"/>
                <w:color w:val="1D2A24"/>
                <w:sz w:val="17"/>
              </w:rPr>
              <w:t>python -m training.evaluate</w:t>
            </w:r>
          </w:p>
          <w:p>
            <w:pPr>
              <w:spacing w:after="0" w:line="240" w:lineRule="auto"/>
            </w:pPr>
            <w:r>
              <w:rPr>
                <w:rFonts w:ascii="Consolas" w:hAnsi="Consolas"/>
                <w:color w:val="1D2A24"/>
                <w:sz w:val="17"/>
              </w:rPr>
              <w:t>python run.py</w:t>
            </w:r>
          </w:p>
        </w:tc>
      </w:tr>
    </w:tbl>
    <w:p>
      <w:pPr>
        <w:spacing w:after="80"/>
        <w:jc w:val="both"/>
      </w:pPr>
      <w:r>
        <w:rPr>
          <w:rFonts w:ascii="Times New Roman" w:hAnsi="Times New Roman"/>
          <w:i w:val="0"/>
          <w:sz w:val="22"/>
        </w:rPr>
        <w:t>The test suite and the frozen-test check are run with:</w:t>
      </w:r>
    </w:p>
    <w:tbl>
      <w:tblPr>
        <w:tblStyle w:val="TableGrid"/>
        <w:tblW w:type="auto" w:w="0"/>
        <w:jc w:val="center"/>
        <w:tblLook w:firstColumn="1" w:firstRow="1" w:lastColumn="0" w:lastRow="0" w:noHBand="0" w:noVBand="1" w:val="04A0"/>
      </w:tblPr>
      <w:tblGrid>
        <w:gridCol w:w="9026"/>
      </w:tblGrid>
      <w:tr>
        <w:tc>
          <w:tcPr>
            <w:tcW w:type="dxa" w:w="9026"/>
            <w:shd w:val="clear" w:color="auto" w:fill="F5F6F1"/>
          </w:tcPr>
          <w:p>
            <w:pPr>
              <w:spacing w:after="0" w:line="240" w:lineRule="auto"/>
            </w:pPr>
            <w:r/>
            <w:r>
              <w:rPr>
                <w:rFonts w:ascii="Consolas" w:hAnsi="Consolas"/>
                <w:color w:val="1D2A24"/>
                <w:sz w:val="17"/>
              </w:rPr>
              <w:t>pytest tests/ -q</w:t>
            </w:r>
          </w:p>
          <w:p>
            <w:pPr>
              <w:spacing w:after="0" w:line="240" w:lineRule="auto"/>
            </w:pPr>
            <w:r>
              <w:rPr>
                <w:rFonts w:ascii="Consolas" w:hAnsi="Consolas"/>
                <w:color w:val="1D2A24"/>
                <w:sz w:val="17"/>
              </w:rPr>
              <w:t>python -m training.build_dataset --check</w:t>
            </w:r>
          </w:p>
        </w:tc>
      </w:tr>
    </w:tbl>
    <w:p>
      <w:pPr>
        <w:spacing w:after="120"/>
        <w:jc w:val="both"/>
      </w:pPr>
      <w:r>
        <w:rPr>
          <w:rFonts w:ascii="Times New Roman" w:hAnsi="Times New Roman"/>
          <w:i w:val="0"/>
          <w:sz w:val="22"/>
        </w:rPr>
        <w:t>The application is then available at http://127.0.0.1:8000. The API is documented at http://127.0.0.1:8000/docs.</w:t>
      </w:r>
    </w:p>
    <w:p>
      <w:r>
        <w:br w:type="page"/>
      </w:r>
    </w:p>
    <w:p>
      <w:pPr>
        <w:pStyle w:val="Heading1"/>
      </w:pPr>
      <w:r>
        <w:t>References</w:t>
      </w:r>
    </w:p>
    <w:p>
      <w:pPr>
        <w:spacing w:after="80"/>
        <w:ind w:left="432" w:hanging="432"/>
      </w:pPr>
      <w:r>
        <w:rPr>
          <w:rFonts w:ascii="Times New Roman" w:hAnsi="Times New Roman"/>
          <w:sz w:val="20"/>
        </w:rPr>
        <w:t>[1] J. Nazario, Phishing Corpus. https://monkey.org/~jose/phishing/ (CC-BY-4.0).</w:t>
      </w:r>
    </w:p>
    <w:p>
      <w:pPr>
        <w:spacing w:after="80"/>
        <w:ind w:left="432" w:hanging="432"/>
      </w:pPr>
      <w:r>
        <w:rPr>
          <w:rFonts w:ascii="Times New Roman" w:hAnsi="Times New Roman"/>
          <w:sz w:val="20"/>
        </w:rPr>
        <w:t>[2] The Apache SpamAssassin Project, Public Mail Corpus. https://spamassassin.apache.org/old/publiccorpus/.</w:t>
      </w:r>
    </w:p>
    <w:p>
      <w:pPr>
        <w:spacing w:after="80"/>
        <w:ind w:left="432" w:hanging="432"/>
      </w:pPr>
      <w:r>
        <w:rPr>
          <w:rFonts w:ascii="Times New Roman" w:hAnsi="Times New Roman"/>
          <w:sz w:val="20"/>
        </w:rPr>
        <w:t>[3] F. Pedregosa et al., “Scikit-learn: Machine Learning in Python,” Journal of Machine Learning Research, vol. 12, pp. 2825–2830, 2011.</w:t>
      </w:r>
    </w:p>
    <w:p>
      <w:pPr>
        <w:spacing w:after="80"/>
        <w:ind w:left="432" w:hanging="432"/>
      </w:pPr>
      <w:r>
        <w:rPr>
          <w:rFonts w:ascii="Times New Roman" w:hAnsi="Times New Roman"/>
          <w:sz w:val="20"/>
        </w:rPr>
        <w:t>[4] S. Ramírez, FastAPI documentation. https://fastapi.tiangolo.com/.</w:t>
      </w:r>
    </w:p>
    <w:p>
      <w:pPr>
        <w:spacing w:after="80"/>
        <w:ind w:left="432" w:hanging="432"/>
      </w:pPr>
      <w:r>
        <w:rPr>
          <w:rFonts w:ascii="Times New Roman" w:hAnsi="Times New Roman"/>
          <w:sz w:val="20"/>
        </w:rPr>
        <w:t>[5] Government of India, National Cyber Crime Reporting Portal. https://cybercrime.gov.in.</w:t>
      </w:r>
    </w:p>
    <w:p>
      <w:pPr>
        <w:spacing w:after="80"/>
        <w:ind w:left="432" w:hanging="432"/>
      </w:pPr>
      <w:r>
        <w:rPr>
          <w:rFonts w:ascii="Times New Roman" w:hAnsi="Times New Roman"/>
          <w:sz w:val="20"/>
        </w:rPr>
        <w:t>[6] IBM Plex typefaces, SIL Open Font License 1.1. https://github.com/IBM/plex.</w:t>
      </w:r>
    </w:p>
    <w:sectPr w:rsidR="00FC693F" w:rsidRPr="0006063C" w:rsidSect="00034616">
      <w:headerReference w:type="default" r:id="rId9"/>
      <w:footerReference w:type="default" r:id="rId10"/>
      <w:pgSz w:w="11906" w:h="16838"/>
      <w:pgMar w:top="1440" w:right="1440" w:bottom="1440" w:left="1440" w:header="648" w:footer="64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E5D55"/>
        <w:sz w:val="17"/>
      </w:rPr>
      <w:t xml:space="preserve">Page </w:t>
    </w:r>
    <w:fldSimple w:instr="PAGE" w:dirty="true">
      <w:r>
        <w:t>1</w:t>
      </w:r>
    </w:fldSimple>
    <w:r>
      <w:rPr>
        <w:rFonts w:ascii="Times New Roman" w:hAnsi="Times New Roman"/>
        <w:color w:val="4E5D55"/>
        <w:sz w:val="17"/>
      </w:rPr>
      <w:t xml:space="preserve"> of </w:t>
    </w:r>
    <w:fldSimple w:instr="NUMPAGES" w:dirty="tru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C9D2C9"/>
      </w:pBdr>
      <w:jc w:val="right"/>
    </w:pPr>
    <w:r>
      <w:rPr>
        <w:rFonts w:ascii="Times New Roman" w:hAnsi="Times New Roman"/>
        <w:color w:val="4E5D55"/>
        <w:sz w:val="17"/>
      </w:rPr>
      <w:t>PhishGuard —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Georgia" w:hAnsi="Georgia"/>
      <w:b/>
      <w:bCs/>
      <w:color w:val="1D2A24"/>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1D2A24"/>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1D2A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AI-Based Phishing Awareness and Message Analysis</dc:title>
  <dc:subject>Question 5 — Phishing Message Detection: final project report</dc:subject>
  <dc:creator>PhishGuard Project Team</dc:creator>
  <cp:keywords>phishing detection, TF-IDF, logistic regression, explainable AI, student safety</cp:keywords>
  <dc:description>generated by python-docx</dc:description>
  <cp:lastModifiedBy/>
  <cp:revision>1</cp:revision>
  <dcterms:created xsi:type="dcterms:W3CDTF">2013-12-23T23:15:00Z</dcterms:created>
  <dcterms:modified xsi:type="dcterms:W3CDTF">2013-12-23T23:15:00Z</dcterms:modified>
  <cp:category/>
</cp:coreProperties>
</file>