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45779C" w:rsidRDefault="0045779C" w:rsidP="005A598C">
      <w:pPr>
        <w:pStyle w:val="StandardErstzeileneinzug"/>
      </w:pPr>
      <w:r w:rsidRPr="0045779C">
        <w:t xml:space="preserve">Johnson et al. (2011): “Augmented reality, a capability that has been around for decades, is shifting from what was once seen as a gimmick to a </w:t>
      </w:r>
      <w:proofErr w:type="spellStart"/>
      <w:r w:rsidRPr="0045779C">
        <w:t>bonafide</w:t>
      </w:r>
      <w:proofErr w:type="spellEnd"/>
      <w:r w:rsidRPr="0045779C">
        <w:t xml:space="preserve"> game-changer. (...) While the most prevalent uses of augmented reality so far have been in the consumer sector (for marketing, </w:t>
      </w:r>
      <w:r w:rsidRPr="0045779C">
        <w:lastRenderedPageBreak/>
        <w:t>social engagement, amusement, or location-based information), new uses seem to emerge almost daily, as tools for creating new applications become ever easier to use.”</w:t>
      </w:r>
    </w:p>
    <w:p w:rsidR="00B238C1" w:rsidRDefault="00B238C1" w:rsidP="005A598C">
      <w:pPr>
        <w:pStyle w:val="StandardErstzeileneinzug"/>
      </w:pPr>
      <w:r>
        <w:t xml:space="preserve">Bower et al. (2014): </w:t>
      </w:r>
      <w:r w:rsidRPr="00B238C1">
        <w:t>Augmented Reality is yet another example of technology rendering lower order thinking tasks redundant (...)”</w:t>
      </w:r>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FF3529" w:rsidRDefault="00FF3529" w:rsidP="007346D5">
      <w:pPr>
        <w:pStyle w:val="StandardErstzeileneinzug"/>
      </w:pPr>
      <w:r>
        <w:t xml:space="preserve">FitzGerald et al. (2013): </w:t>
      </w:r>
      <w:proofErr w:type="spellStart"/>
      <w:r>
        <w:t>Definitionen</w:t>
      </w:r>
      <w:proofErr w:type="spellEnd"/>
      <w:r>
        <w:t xml:space="preserve"> </w:t>
      </w:r>
      <w:proofErr w:type="spellStart"/>
      <w:r>
        <w:t>zunächst</w:t>
      </w:r>
      <w:proofErr w:type="spellEnd"/>
      <w:r>
        <w:t xml:space="preserve"> </w:t>
      </w:r>
      <w:proofErr w:type="spellStart"/>
      <w:r>
        <w:t>grafisch</w:t>
      </w:r>
      <w:proofErr w:type="spellEnd"/>
      <w:r>
        <w:t xml:space="preserve"> </w:t>
      </w:r>
      <w:proofErr w:type="spellStart"/>
      <w:r>
        <w:t>fokussiert</w:t>
      </w:r>
      <w:proofErr w:type="spellEnd"/>
      <w:r>
        <w:t xml:space="preserve"> war (“</w:t>
      </w:r>
      <w:r w:rsidRPr="00FF3529">
        <w:t>early research into the use of AR as a primarily graphical display</w:t>
      </w:r>
      <w:r>
        <w:t>”)</w:t>
      </w:r>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FF3529">
        <w:t xml:space="preserve">-&gt; </w:t>
      </w:r>
      <w:proofErr w:type="spellStart"/>
      <w:r w:rsidRPr="00FF3529">
        <w:t>Keine</w:t>
      </w:r>
      <w:proofErr w:type="spellEnd"/>
      <w:r w:rsidRPr="00FF3529">
        <w:t xml:space="preserve"> 2D </w:t>
      </w:r>
      <w:proofErr w:type="spellStart"/>
      <w:r w:rsidRPr="00FF3529">
        <w:t>Overl</w:t>
      </w:r>
      <w:r w:rsidRPr="007346D5">
        <w:rPr>
          <w:lang w:val="de-DE"/>
        </w:rPr>
        <w:t>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w:t>
      </w:r>
      <w:proofErr w:type="gramStart"/>
      <w:r w:rsidRPr="007346D5">
        <w:rPr>
          <w:lang w:val="de-DE"/>
        </w:rPr>
        <w:t>sind</w:t>
      </w:r>
      <w:proofErr w:type="gramEnd"/>
      <w:r w:rsidRPr="007346D5">
        <w:rPr>
          <w:lang w:val="de-DE"/>
        </w:rPr>
        <w:t>?)</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r w:rsidRPr="00B62C35">
        <w:t xml:space="preserve">Milgram &amp; </w:t>
      </w:r>
      <w:proofErr w:type="spellStart"/>
      <w:r w:rsidRPr="00B62C35">
        <w:t>Kishino</w:t>
      </w:r>
      <w:proofErr w:type="spellEnd"/>
      <w:r w:rsidRPr="00B62C35">
        <w:t xml:space="preserve"> (1994) </w:t>
      </w:r>
      <w:proofErr w:type="spellStart"/>
      <w:r w:rsidRPr="00B62C35">
        <w:t>erwähnen</w:t>
      </w:r>
      <w:proofErr w:type="spellEnd"/>
      <w:r w:rsidRPr="00B62C35">
        <w:t xml:space="preserve"> </w:t>
      </w:r>
      <w:proofErr w:type="spellStart"/>
      <w:r w:rsidRPr="00B62C35">
        <w:t>Möglichkeiten</w:t>
      </w:r>
      <w:proofErr w:type="spellEnd"/>
      <w:r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62C35">
        <w:t xml:space="preserve"> </w:t>
      </w:r>
      <w:proofErr w:type="spellStart"/>
      <w:r w:rsidR="00D62371" w:rsidRPr="00FD5995">
        <w:rPr>
          <w:lang w:val="de-DE"/>
        </w:rPr>
        <w:t>Benko</w:t>
      </w:r>
      <w:proofErr w:type="spellEnd"/>
      <w:r w:rsidR="00D62371" w:rsidRPr="00FD5995">
        <w:rPr>
          <w:lang w:val="de-DE"/>
        </w:rPr>
        <w:t xml:space="preserve"> et al.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9902FC" w:rsidRDefault="009902FC" w:rsidP="007346D5">
      <w:pPr>
        <w:pStyle w:val="StandardErstzeileneinzug"/>
      </w:pPr>
      <w:r w:rsidRPr="0045779C">
        <w:t>(</w:t>
      </w:r>
      <w:proofErr w:type="spellStart"/>
      <w:r w:rsidRPr="0045779C">
        <w:t>Ternier</w:t>
      </w:r>
      <w:proofErr w:type="spellEnd"/>
      <w:r w:rsidRPr="0045779C">
        <w:t xml:space="preserve">, De </w:t>
      </w:r>
      <w:proofErr w:type="spellStart"/>
      <w:r w:rsidRPr="0045779C">
        <w:t>Vries</w:t>
      </w:r>
      <w:proofErr w:type="spellEnd"/>
      <w:r w:rsidRPr="0045779C">
        <w:t xml:space="preserve"> et al. </w:t>
      </w:r>
      <w:r w:rsidRPr="009902FC">
        <w:t xml:space="preserve">(2012) </w:t>
      </w:r>
      <w:proofErr w:type="spellStart"/>
      <w:r>
        <w:t>Begründung</w:t>
      </w:r>
      <w:proofErr w:type="spellEnd"/>
      <w:r>
        <w:t>:</w:t>
      </w:r>
      <w:r w:rsidRPr="009902FC">
        <w:t xml:space="preserve"> “Just like a user should - while driving a car - use sight as much as possible to drive, we believe that with location based learning, a learner’s eyes must be primarily used to examine the environment. </w:t>
      </w:r>
      <w:proofErr w:type="spellStart"/>
      <w:r w:rsidRPr="009902FC">
        <w:t>ARLearn</w:t>
      </w:r>
      <w:proofErr w:type="spellEnd"/>
      <w:r w:rsidRPr="009902FC">
        <w:t xml:space="preserve"> therefore builds on hearing to support location-based learning through mobile phones.”</w:t>
      </w:r>
      <w:r>
        <w:t>)</w:t>
      </w:r>
    </w:p>
    <w:p w:rsidR="00FF52D5"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including hearing, touch, and smell.</w:t>
      </w:r>
      <w:r w:rsidR="00FF52D5">
        <w:t>”</w:t>
      </w:r>
    </w:p>
    <w:p w:rsidR="000B5FF7" w:rsidRDefault="00FF52D5" w:rsidP="00FF52D5">
      <w:pPr>
        <w:pStyle w:val="StandardErstzeileneinzug"/>
      </w:pPr>
      <w:proofErr w:type="gramStart"/>
      <w:r>
        <w:t>Azuma et al. (2001) “</w:t>
      </w:r>
      <w:r w:rsidR="000B5FF7" w:rsidRPr="000B5FF7">
        <w:t>Certain AR applications also require removing real objects from the perceived environment, in addition to adding virtual objects.</w:t>
      </w:r>
      <w:proofErr w:type="gramEnd"/>
      <w:r w:rsidR="000B5FF7" w:rsidRPr="000B5FF7">
        <w:t xml:space="preserve">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676B3D" w:rsidP="009658FF">
      <w:pPr>
        <w:pStyle w:val="StandardErstzeileneinzug"/>
      </w:pPr>
      <w:r>
        <w:lastRenderedPageBreak/>
        <w:t>Specht et al. (2011):</w:t>
      </w:r>
      <w:r w:rsidR="009658FF">
        <w:t xml:space="preserve">”Milgram and </w:t>
      </w:r>
      <w:proofErr w:type="spellStart"/>
      <w:r w:rsidR="009658FF">
        <w:t>Kishino</w:t>
      </w:r>
      <w:proofErr w:type="spellEnd"/>
      <w:r w:rsidR="009658FF">
        <w:t xml:space="preserve"> (1994) describe augmented reality (AR) as “relating purely virtual environments to purely real environments” (p. 1321). Rice (Shute, 2009) gives an even broader perspective on augmented reality, stating that it should cover any media that is specific to your location and the context of what you are doing. We find these definitions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C84A0F" w:rsidRPr="00C84A0F" w:rsidRDefault="00C84A0F" w:rsidP="007346D5">
      <w:pPr>
        <w:pStyle w:val="StandardErstzeileneinzug"/>
      </w:pPr>
      <w:r>
        <w:t xml:space="preserve">Milgram (1994): </w:t>
      </w:r>
      <w:r w:rsidRPr="00C84A0F">
        <w:t xml:space="preserve">“An (approximately) three dimensional taxonomy is proposed, comprising the following dimensions: </w:t>
      </w:r>
      <w:r w:rsidRPr="00C84A0F">
        <w:rPr>
          <w:b/>
          <w:bCs/>
        </w:rPr>
        <w:t>Extent of World Knowledge</w:t>
      </w:r>
      <w:r w:rsidRPr="00C84A0F">
        <w:t xml:space="preserve"> ("how much do we know about the world being displayed?"), </w:t>
      </w:r>
      <w:r w:rsidRPr="00C84A0F">
        <w:rPr>
          <w:b/>
          <w:bCs/>
        </w:rPr>
        <w:t>Reproduction Fidelity</w:t>
      </w:r>
      <w:r w:rsidRPr="00C84A0F">
        <w:t xml:space="preserve"> ("how 'realistically' are we able to display it?"), and </w:t>
      </w:r>
      <w:r w:rsidRPr="00C84A0F">
        <w:rPr>
          <w:b/>
          <w:bCs/>
        </w:rPr>
        <w:t>Extent of Presence Metaphor</w:t>
      </w:r>
      <w:r w:rsidRPr="00C84A0F">
        <w:t xml:space="preserve"> ("what is the extent of the illusion that the observer is present within that world?")”</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w:t>
      </w:r>
      <w:r w:rsidR="00FD5995">
        <w:rPr>
          <w:lang w:val="de-DE"/>
        </w:rPr>
        <w:t xml:space="preserve">(1992) </w:t>
      </w:r>
      <w:r w:rsidR="00190344" w:rsidRPr="00BA2B77">
        <w:rPr>
          <w:lang w:val="de-DE"/>
        </w:rPr>
        <w:t>(Faktoren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FD5995" w:rsidP="005602E0">
      <w:pPr>
        <w:pStyle w:val="StandardErstzeileneinzug"/>
      </w:pPr>
      <w:proofErr w:type="spellStart"/>
      <w:r>
        <w:t>Robinett</w:t>
      </w:r>
      <w:proofErr w:type="spellEnd"/>
      <w:r>
        <w:t xml:space="preserve"> (1992) (synthetic experience) (“</w:t>
      </w:r>
      <w:r w:rsidRPr="00FD5995">
        <w:t>a taxonomy for classifying systems that incorporate an HMD</w:t>
      </w:r>
      <w:r>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45779C" w:rsidP="005602E0">
      <w:pPr>
        <w:pStyle w:val="StandardErstzeileneinzug"/>
      </w:pPr>
      <w:r>
        <w:lastRenderedPageBreak/>
        <w:t>Johnson et al</w:t>
      </w:r>
      <w:proofErr w:type="gramStart"/>
      <w:r>
        <w:t>.(</w:t>
      </w:r>
      <w:proofErr w:type="gramEnd"/>
      <w:r>
        <w:t xml:space="preserve">2011): </w:t>
      </w:r>
      <w:r w:rsidRPr="0045779C">
        <w:t>”Augmented reality (AR) refers to the addition of a computer-assisted contextual layer of information over the real world, creating a reality that is enhanced or augmented.”</w:t>
      </w:r>
      <w:r>
        <w:t xml:space="preserve"> -&gt; </w:t>
      </w:r>
      <w:proofErr w:type="spellStart"/>
      <w:r>
        <w:t>Sehr</w:t>
      </w:r>
      <w:proofErr w:type="spellEnd"/>
      <w:r>
        <w:t xml:space="preserve"> </w:t>
      </w:r>
      <w:proofErr w:type="spellStart"/>
      <w:r>
        <w:t>allgemein</w:t>
      </w:r>
      <w:proofErr w:type="spellEnd"/>
    </w:p>
    <w:p w:rsidR="00FC216C" w:rsidRDefault="00FC216C" w:rsidP="005602E0">
      <w:pPr>
        <w:pStyle w:val="StandardErstzeileneinzug"/>
        <w:rPr>
          <w:b/>
          <w:bCs/>
        </w:rPr>
      </w:pPr>
      <w:r w:rsidRPr="00FC216C">
        <w:rPr>
          <w:i/>
        </w:rPr>
        <w:t xml:space="preserve">Wetzel et al. (2008) </w:t>
      </w:r>
      <w:proofErr w:type="spellStart"/>
      <w:r w:rsidRPr="00FC216C">
        <w:rPr>
          <w:i/>
        </w:rPr>
        <w:t>stellt</w:t>
      </w:r>
      <w:proofErr w:type="spellEnd"/>
      <w:r w:rsidRPr="00FC216C">
        <w:rPr>
          <w:i/>
        </w:rPr>
        <w:t xml:space="preserve"> in </w:t>
      </w:r>
      <w:proofErr w:type="spellStart"/>
      <w:r w:rsidRPr="00FC216C">
        <w:rPr>
          <w:i/>
        </w:rPr>
        <w:t>Frage</w:t>
      </w:r>
      <w:proofErr w:type="spellEnd"/>
      <w:r w:rsidRPr="00FC216C">
        <w:rPr>
          <w:i/>
        </w:rPr>
        <w:t xml:space="preserve">, </w:t>
      </w:r>
      <w:proofErr w:type="spellStart"/>
      <w:r w:rsidRPr="00FC216C">
        <w:rPr>
          <w:i/>
        </w:rPr>
        <w:t>ob</w:t>
      </w:r>
      <w:proofErr w:type="spellEnd"/>
      <w:r w:rsidRPr="00FC216C">
        <w:rPr>
          <w:i/>
        </w:rPr>
        <w:t xml:space="preserve"> The Eye of Judgement AR </w:t>
      </w:r>
      <w:proofErr w:type="spellStart"/>
      <w:proofErr w:type="gramStart"/>
      <w:r w:rsidRPr="00FC216C">
        <w:rPr>
          <w:i/>
        </w:rPr>
        <w:t>ist</w:t>
      </w:r>
      <w:proofErr w:type="spellEnd"/>
      <w:proofErr w:type="gramEnd"/>
      <w:r>
        <w:rPr>
          <w:i/>
        </w:rPr>
        <w:t xml:space="preserve">. </w:t>
      </w:r>
      <w:r w:rsidRPr="00FC216C">
        <w:t xml:space="preserve">”One of the </w:t>
      </w:r>
      <w:r w:rsidRPr="00FC216C">
        <w:rPr>
          <w:b/>
          <w:bCs/>
        </w:rPr>
        <w:t>biggest weaknesses</w:t>
      </w:r>
      <w:r w:rsidRPr="00FC216C">
        <w:t xml:space="preserve"> of The Eye of Judgment is the fact that it might not be a “true” Augmented Reality game at all.”</w:t>
      </w:r>
      <w:r>
        <w:t xml:space="preserve"> – “</w:t>
      </w:r>
      <w:r w:rsidRPr="00FC216C">
        <w:t xml:space="preserve">During [Eye of Judgement], the screen displays the playing field which is enhanced by terrain in each square and other graphical </w:t>
      </w:r>
      <w:proofErr w:type="gramStart"/>
      <w:r w:rsidRPr="00FC216C">
        <w:t>effects</w:t>
      </w:r>
      <w:proofErr w:type="gramEnd"/>
      <w:r w:rsidRPr="00FC216C">
        <w:t xml:space="preserve">. The real playing field is never seen on the screen as it is </w:t>
      </w:r>
      <w:r w:rsidRPr="00FC216C">
        <w:rPr>
          <w:b/>
          <w:bCs/>
        </w:rPr>
        <w:t>completely overlaid by virtual characters and objects</w:t>
      </w:r>
      <w:r>
        <w:rPr>
          <w:b/>
          <w:bCs/>
        </w:rPr>
        <w:t>”</w:t>
      </w:r>
    </w:p>
    <w:p w:rsidR="00FF3529" w:rsidRPr="00FF3529" w:rsidRDefault="00FF3529" w:rsidP="005602E0">
      <w:pPr>
        <w:pStyle w:val="StandardErstzeileneinzug"/>
        <w:rPr>
          <w:bCs/>
        </w:rPr>
      </w:pPr>
      <w:r>
        <w:rPr>
          <w:bCs/>
        </w:rPr>
        <w:t>FitzGerald et al. (2013): “</w:t>
      </w:r>
      <w:r w:rsidRPr="00FF3529">
        <w:rPr>
          <w:bCs/>
        </w:rPr>
        <w:t xml:space="preserve">working definition of AR that includes the </w:t>
      </w:r>
      <w:r w:rsidRPr="00FF3529">
        <w:rPr>
          <w:b/>
          <w:bCs/>
        </w:rPr>
        <w:t>fusion of any digital information with physical world settings</w:t>
      </w:r>
      <w:r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r w:rsidRPr="0045779C">
        <w:rPr>
          <w:lang w:val="en-US"/>
        </w:rPr>
        <w:t>Technology</w:t>
      </w:r>
    </w:p>
    <w:p w:rsidR="00B94732" w:rsidRPr="00A55959" w:rsidRDefault="00B94732" w:rsidP="00B94732">
      <w:pPr>
        <w:pStyle w:val="StandardErstzeileneinzug"/>
      </w:pPr>
      <w:r w:rsidRPr="00A55959">
        <w:t xml:space="preserve">Sutherland </w:t>
      </w:r>
      <w:proofErr w:type="spellStart"/>
      <w:r w:rsidRPr="00A55959">
        <w:t>als</w:t>
      </w:r>
      <w:proofErr w:type="spellEnd"/>
      <w:r w:rsidRPr="00A55959">
        <w:t xml:space="preserve"> </w:t>
      </w:r>
      <w:proofErr w:type="spellStart"/>
      <w:r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(FitzGerald et al.: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Default="0014236C" w:rsidP="00A55959">
      <w:pPr>
        <w:pStyle w:val="StandardErstzeileneinzug"/>
        <w:numPr>
          <w:ilvl w:val="0"/>
          <w:numId w:val="3"/>
        </w:numPr>
        <w:rPr>
          <w:lang w:val="de-DE"/>
        </w:rPr>
      </w:pPr>
      <w:r w:rsidRPr="0014236C">
        <w:rPr>
          <w:lang w:val="de-DE"/>
        </w:rPr>
        <w:t>Feiner et al. (1997) als erstes MARS</w:t>
      </w:r>
      <w:r>
        <w:rPr>
          <w:lang w:val="de-DE"/>
        </w:rPr>
        <w:t xml:space="preserve"> (Mobile </w:t>
      </w:r>
      <w:proofErr w:type="spellStart"/>
      <w:r>
        <w:rPr>
          <w:lang w:val="de-DE"/>
        </w:rPr>
        <w:t>Augmented</w:t>
      </w:r>
      <w:proofErr w:type="spellEnd"/>
      <w:r>
        <w:rPr>
          <w:lang w:val="de-DE"/>
        </w:rPr>
        <w:t xml:space="preserve"> Reality System (So genannt in </w:t>
      </w:r>
      <w:proofErr w:type="spellStart"/>
      <w:r>
        <w:rPr>
          <w:lang w:val="de-DE"/>
        </w:rPr>
        <w:t>Papagiannakis</w:t>
      </w:r>
      <w:proofErr w:type="spellEnd"/>
      <w:r>
        <w:rPr>
          <w:lang w:val="de-DE"/>
        </w:rPr>
        <w:t xml:space="preserve"> et al. (2008), aber wahrscheinlich nicht zum ersten Mal)</w:t>
      </w:r>
    </w:p>
    <w:p w:rsidR="00FF3529" w:rsidRPr="00FF3529" w:rsidRDefault="00FF3529" w:rsidP="00A55959">
      <w:pPr>
        <w:pStyle w:val="StandardErstzeileneinzug"/>
        <w:numPr>
          <w:ilvl w:val="0"/>
          <w:numId w:val="3"/>
        </w:numPr>
      </w:pPr>
      <w:r w:rsidRPr="00FF3529">
        <w:t xml:space="preserve">FitzGerald et al. (2013): “We focus on the use of augmented reality for mobile learning, in </w:t>
      </w:r>
      <w:r w:rsidRPr="00FF3529">
        <w:rPr>
          <w:b/>
          <w:bCs/>
        </w:rPr>
        <w:t>all senses of the word ‘mobile’</w:t>
      </w:r>
      <w:r w:rsidRPr="00FF3529">
        <w:t>, where the learner is not constrained to a desktop computer at a fixed location and the learning itself may be dynamic and across contexts.”</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Pr="00A55628" w:rsidRDefault="00B94732" w:rsidP="00B94732">
      <w:pPr>
        <w:pStyle w:val="StandardErstzeileneinzug"/>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in </w:t>
      </w:r>
      <w:proofErr w:type="spellStart"/>
      <w:r w:rsidR="00EB09FA" w:rsidRPr="00B24973">
        <w:rPr>
          <w:lang w:val="de-DE"/>
        </w:rPr>
        <w:t>Kruijff</w:t>
      </w:r>
      <w:proofErr w:type="spellEnd"/>
      <w:r w:rsidR="00EB09FA" w:rsidRPr="00B24973">
        <w:rPr>
          <w:lang w:val="de-DE"/>
        </w:rPr>
        <w:t xml:space="preserve"> et al. </w:t>
      </w:r>
      <w:r w:rsidR="00EB09FA">
        <w:t>(2010))</w:t>
      </w:r>
      <w:r w:rsidRPr="00A55628">
        <w:t>)</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xml:space="preserve">. </w:t>
      </w:r>
      <w:r w:rsidRPr="000B5FF7">
        <w:lastRenderedPageBreak/>
        <w:t>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0D35EE" w:rsidRDefault="000B5FF7" w:rsidP="00B94732">
      <w:pPr>
        <w:pStyle w:val="StandardErstzeileneinzug"/>
        <w:rPr>
          <w:lang w:val="de-DE"/>
        </w:rPr>
      </w:pPr>
      <w:r w:rsidRPr="00BA2B77">
        <w:t xml:space="preserve">Location-Based </w:t>
      </w:r>
      <w:r w:rsidR="00BA2B77">
        <w:t>(</w:t>
      </w:r>
      <w:proofErr w:type="spellStart"/>
      <w:r w:rsidR="00BA2B77">
        <w:t>geolocated</w:t>
      </w:r>
      <w:proofErr w:type="spellEnd"/>
      <w:r w:rsidR="00BA2B77">
        <w:t>/marker-less</w:t>
      </w:r>
      <w:r w:rsidR="0045779C">
        <w:t>/</w:t>
      </w:r>
      <w:proofErr w:type="gramStart"/>
      <w:r w:rsidR="0045779C">
        <w:t>gravimetric(</w:t>
      </w:r>
      <w:proofErr w:type="gramEnd"/>
      <w:r w:rsidR="0045779C">
        <w:t>Johnson et al. (2011))</w:t>
      </w:r>
      <w:r w:rsidR="00BA2B77">
        <w:t xml:space="preserve">)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FD5995">
        <w:t xml:space="preserve">(2012), FitzGerald et al. </w:t>
      </w:r>
      <w:r w:rsidR="00BA2B77" w:rsidRPr="000D35EE">
        <w:rPr>
          <w:lang w:val="de-DE"/>
        </w:rPr>
        <w:t>(2013)</w:t>
      </w:r>
      <w:r w:rsidR="000D35EE" w:rsidRPr="000D35EE">
        <w:rPr>
          <w:lang w:val="de-DE"/>
        </w:rPr>
        <w:t xml:space="preserve"> zitiert ihn, benutzt </w:t>
      </w:r>
      <w:r w:rsidR="000D35EE">
        <w:rPr>
          <w:lang w:val="de-DE"/>
        </w:rPr>
        <w:t>(zusätzlich?)</w:t>
      </w:r>
      <w:r w:rsidR="000D35EE" w:rsidRPr="000D35EE">
        <w:rPr>
          <w:lang w:val="de-DE"/>
        </w:rPr>
        <w:t xml:space="preserve"> </w:t>
      </w:r>
      <w:proofErr w:type="spellStart"/>
      <w:r w:rsidR="000D35EE" w:rsidRPr="000D35EE">
        <w:rPr>
          <w:lang w:val="de-DE"/>
        </w:rPr>
        <w:t>marker-less</w:t>
      </w:r>
      <w:proofErr w:type="spellEnd"/>
      <w:r w:rsidR="000D35EE" w:rsidRPr="000D35EE">
        <w:rPr>
          <w:lang w:val="de-DE"/>
        </w:rPr>
        <w:t>/-</w:t>
      </w:r>
      <w:proofErr w:type="spellStart"/>
      <w:r w:rsidR="000D35EE" w:rsidRPr="000D35EE">
        <w:rPr>
          <w:lang w:val="de-DE"/>
        </w:rPr>
        <w:t>based</w:t>
      </w:r>
      <w:proofErr w:type="spellEnd"/>
      <w:r w:rsidR="00BA2B77" w:rsidRPr="000D35EE">
        <w:rPr>
          <w:lang w:val="de-DE"/>
        </w:rPr>
        <w:t xml:space="preserve">) -&gt; </w:t>
      </w:r>
      <w:proofErr w:type="spellStart"/>
      <w:r w:rsidR="00BA2B77" w:rsidRPr="000D35EE">
        <w:rPr>
          <w:lang w:val="de-DE"/>
        </w:rPr>
        <w:t>Hololens</w:t>
      </w:r>
      <w:proofErr w:type="spellEnd"/>
      <w:r w:rsidR="00BA2B77" w:rsidRPr="000D35EE">
        <w:rPr>
          <w:lang w:val="de-DE"/>
        </w:rPr>
        <w:t xml:space="preserve"> hervorheben als alternativen dritten Ansatz</w:t>
      </w:r>
    </w:p>
    <w:p w:rsidR="00D62371" w:rsidRPr="00D62371" w:rsidRDefault="00D62371" w:rsidP="00D62371">
      <w:pPr>
        <w:pStyle w:val="StandardErstzeileneinzug"/>
      </w:pPr>
      <w:r w:rsidRPr="00D62371">
        <w:t xml:space="preserve">Marker-based: You &amp; Neumann listen </w:t>
      </w:r>
      <w:proofErr w:type="spellStart"/>
      <w:r w:rsidRPr="00D62371">
        <w:t>Arten</w:t>
      </w:r>
      <w:proofErr w:type="spellEnd"/>
      <w:r w:rsidRPr="00D62371">
        <w:t xml:space="preserve"> von Fiducials (5.1) (corner features, square shape markers, circular</w:t>
      </w:r>
      <w:r>
        <w:t xml:space="preserve"> </w:t>
      </w:r>
      <w:r w:rsidRPr="00D62371">
        <w:t>markers, and multi-ring color markers)</w:t>
      </w:r>
    </w:p>
    <w:p w:rsidR="00B94732" w:rsidRPr="000E6263" w:rsidRDefault="004A0BD1" w:rsidP="00B94732">
      <w:pPr>
        <w:pStyle w:val="StandardErstzeileneinzug"/>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(Schall et al.</w:t>
      </w:r>
      <w:r w:rsidR="00C732DA">
        <w:rPr>
          <w:lang w:val="de-DE"/>
        </w:rPr>
        <w:t xml:space="preserve"> </w:t>
      </w:r>
      <w:r w:rsidR="00C732DA" w:rsidRPr="000E6263">
        <w:t xml:space="preserve">(2009), </w:t>
      </w:r>
      <w:proofErr w:type="spellStart"/>
      <w:r w:rsidR="00C732DA" w:rsidRPr="000E6263">
        <w:t>Hol</w:t>
      </w:r>
      <w:proofErr w:type="spellEnd"/>
      <w:r w:rsidR="00C732DA" w:rsidRPr="000E6263">
        <w:t xml:space="preserve"> et al. (2006)</w:t>
      </w:r>
      <w:r w:rsidRPr="000E6263">
        <w:t>)</w:t>
      </w:r>
    </w:p>
    <w:p w:rsidR="004A0BD1" w:rsidRPr="004A0BD1" w:rsidRDefault="004A0BD1" w:rsidP="00B94732">
      <w:pPr>
        <w:pStyle w:val="StandardErstzeileneinzug"/>
      </w:pPr>
      <w:r w:rsidRPr="000E6263">
        <w:t xml:space="preserve">Wetzel et al. </w:t>
      </w:r>
      <w:r w:rsidRPr="004A0BD1">
        <w:t xml:space="preserve">(2008): “Using GPS in </w:t>
      </w:r>
      <w:proofErr w:type="spellStart"/>
      <w:r w:rsidRPr="004A0BD1">
        <w:t>TimeWarp</w:t>
      </w:r>
      <w:proofErr w:type="spellEnd"/>
      <w:r w:rsidRPr="004A0BD1">
        <w:t xml:space="preserve"> proved to be a problematic choice for example. (...) Marker tracking on the other hand as applied in Interference or The Eye of Judgment is much more stable and a </w:t>
      </w:r>
      <w:r w:rsidRPr="004A0BD1">
        <w:rPr>
          <w:b/>
          <w:bCs/>
        </w:rPr>
        <w:t>simple yet often times effective solution.</w:t>
      </w:r>
      <w:r w:rsidRPr="004A0BD1">
        <w:t>”</w:t>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C55CC0" w:rsidP="00B94732">
      <w:pPr>
        <w:pStyle w:val="StandardErstzeileneinzug"/>
      </w:pPr>
      <w:proofErr w:type="spellStart"/>
      <w:r>
        <w:rPr>
          <w:lang w:val="de-DE"/>
        </w:rPr>
        <w:t>Furmanski</w:t>
      </w:r>
      <w:proofErr w:type="spellEnd"/>
      <w:r>
        <w:rPr>
          <w:lang w:val="de-DE"/>
        </w:rPr>
        <w:t xml:space="preserve"> et al. </w:t>
      </w:r>
      <w:r w:rsidRPr="000E6263">
        <w:t xml:space="preserve">(2002) </w:t>
      </w:r>
      <w:proofErr w:type="spellStart"/>
      <w:r w:rsidRPr="000E6263">
        <w:t>unterscheiden</w:t>
      </w:r>
      <w:proofErr w:type="spellEnd"/>
      <w:r w:rsidRPr="000E6263">
        <w:t>: “Processing methods can be classifie</w:t>
      </w:r>
      <w:r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0A7144" w:rsidP="00B94732">
      <w:pPr>
        <w:pStyle w:val="StandardErstzeileneinzug"/>
      </w:pPr>
      <w:r>
        <w:t xml:space="preserve">Azuma (2001): </w:t>
      </w:r>
      <w:r w:rsidRPr="000A7144">
        <w:t xml:space="preserve">“One category for new developments is enabling technologies. Enabling technologies are advances in the basic technologies needed to build compelling AR environments. Examples of these technologies include </w:t>
      </w:r>
      <w:r w:rsidRPr="000A7144">
        <w:rPr>
          <w:b/>
        </w:rPr>
        <w:t>displays, tracking, registration, and calibration.</w:t>
      </w:r>
      <w:r w:rsidRPr="000A7144">
        <w:t>”</w:t>
      </w:r>
    </w:p>
    <w:p w:rsidR="009902FC" w:rsidRDefault="009902FC" w:rsidP="00B94732">
      <w:pPr>
        <w:pStyle w:val="StandardErstzeileneinzug"/>
        <w:rPr>
          <w:lang w:val="de-DE"/>
        </w:rPr>
      </w:pPr>
      <w:r w:rsidRPr="009902FC">
        <w:rPr>
          <w:lang w:val="de-DE"/>
        </w:rPr>
        <w:t>Sharma et a</w:t>
      </w:r>
      <w:r>
        <w:rPr>
          <w:lang w:val="de-DE"/>
        </w:rPr>
        <w:t xml:space="preserve">l. (2016) unterscheidet (Smart </w:t>
      </w:r>
      <w:proofErr w:type="spellStart"/>
      <w:r>
        <w:rPr>
          <w:lang w:val="de-DE"/>
        </w:rPr>
        <w:t>g</w:t>
      </w:r>
      <w:r w:rsidRPr="009902FC">
        <w:rPr>
          <w:lang w:val="de-DE"/>
        </w:rPr>
        <w:t>lasses</w:t>
      </w:r>
      <w:proofErr w:type="spellEnd"/>
      <w:r>
        <w:rPr>
          <w:lang w:val="de-DE"/>
        </w:rPr>
        <w:t xml:space="preserve">): </w:t>
      </w:r>
      <w:proofErr w:type="spellStart"/>
      <w:r>
        <w:rPr>
          <w:lang w:val="de-DE"/>
        </w:rPr>
        <w:t>Monocular</w:t>
      </w:r>
      <w:proofErr w:type="spellEnd"/>
      <w:r>
        <w:rPr>
          <w:lang w:val="de-DE"/>
        </w:rPr>
        <w:t>, bi-</w:t>
      </w:r>
      <w:proofErr w:type="spellStart"/>
      <w:r>
        <w:rPr>
          <w:lang w:val="de-DE"/>
        </w:rPr>
        <w:t>ocular</w:t>
      </w:r>
      <w:proofErr w:type="spellEnd"/>
      <w:r>
        <w:rPr>
          <w:lang w:val="de-DE"/>
        </w:rPr>
        <w:t xml:space="preserve">, </w:t>
      </w:r>
      <w:proofErr w:type="spellStart"/>
      <w:r>
        <w:rPr>
          <w:lang w:val="de-DE"/>
        </w:rPr>
        <w:t>binocular</w:t>
      </w:r>
      <w:proofErr w:type="spellEnd"/>
      <w:r>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1B1B51" w:rsidRDefault="001B1B51" w:rsidP="0044065F">
      <w:pPr>
        <w:pStyle w:val="StandardErstzeileneinzug"/>
        <w:rPr>
          <w:i/>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(Wetzel et al. </w:t>
      </w:r>
      <w:r>
        <w:rPr>
          <w:i/>
        </w:rPr>
        <w:t>(2008)</w:t>
      </w:r>
      <w:r w:rsidRPr="001B1B51">
        <w:rPr>
          <w:i/>
        </w:rPr>
        <w:t>)</w:t>
      </w:r>
    </w:p>
    <w:p w:rsidR="00C4539F" w:rsidRDefault="00C4539F" w:rsidP="00C4539F">
      <w:pPr>
        <w:pStyle w:val="berschrift3"/>
      </w:pPr>
      <w:bookmarkStart w:id="7" w:name="_Toc469567516"/>
      <w:proofErr w:type="spellStart"/>
      <w:r>
        <w:t>Applications</w:t>
      </w:r>
      <w:bookmarkEnd w:id="7"/>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E847D4" w:rsidRDefault="00E847D4" w:rsidP="00E847D4">
      <w:pPr>
        <w:pStyle w:val="StandardErstzeileneinzug"/>
        <w:rPr>
          <w:lang w:val="de-DE"/>
        </w:rPr>
      </w:pPr>
      <w:r w:rsidRPr="0044065F">
        <w:rPr>
          <w:lang w:val="de-DE"/>
        </w:rPr>
        <w:t>Allgemein: Patterns?</w:t>
      </w:r>
    </w:p>
    <w:p w:rsidR="00E847D4" w:rsidRDefault="00E847D4" w:rsidP="00E847D4">
      <w:pPr>
        <w:pStyle w:val="StandardErstzeileneinzug"/>
      </w:pPr>
      <w:proofErr w:type="spellStart"/>
      <w:r w:rsidRPr="0044065F">
        <w:rPr>
          <w:lang w:val="de-DE"/>
        </w:rPr>
        <w:lastRenderedPageBreak/>
        <w:t>Antonacci</w:t>
      </w:r>
      <w:proofErr w:type="spellEnd"/>
      <w:r w:rsidRPr="0044065F">
        <w:rPr>
          <w:lang w:val="de-DE"/>
        </w:rPr>
        <w:t xml:space="preserve"> et al. </w:t>
      </w:r>
      <w:r>
        <w:t xml:space="preserve">(2015): </w:t>
      </w:r>
      <w:r w:rsidRPr="0051022F">
        <w:t>“Below some design patterns already identified by the authors of this paper, which take advantage of AR potential, are listed:</w:t>
      </w:r>
    </w:p>
    <w:p w:rsidR="00E847D4" w:rsidRDefault="00E847D4" w:rsidP="00E847D4">
      <w:pPr>
        <w:pStyle w:val="StandardErstzeileneinzug"/>
      </w:pPr>
      <w:r w:rsidRPr="0051022F">
        <w:t>• Localization: adding information related to the user’s position and orientation;</w:t>
      </w:r>
    </w:p>
    <w:p w:rsidR="00E847D4" w:rsidRDefault="00E847D4" w:rsidP="00E847D4">
      <w:pPr>
        <w:pStyle w:val="StandardErstzeileneinzug"/>
      </w:pPr>
      <w:r w:rsidRPr="0051022F">
        <w:t>• Video recording and view sharing: sharing the user’s view with another user or an expert;</w:t>
      </w:r>
    </w:p>
    <w:p w:rsidR="00E847D4" w:rsidRDefault="00E847D4" w:rsidP="00E847D4">
      <w:pPr>
        <w:pStyle w:val="StandardErstzeileneinzug"/>
      </w:pPr>
      <w:r w:rsidRPr="0051022F">
        <w:t>• Synchronous communication: using communication features while performing a task;</w:t>
      </w:r>
    </w:p>
    <w:p w:rsidR="00E847D4" w:rsidRDefault="00E847D4" w:rsidP="00E847D4">
      <w:pPr>
        <w:pStyle w:val="StandardErstzeileneinzug"/>
      </w:pPr>
      <w:r w:rsidRPr="0051022F">
        <w:t>• Contextualization: enriching the current view by providing contextual information (e.g. distance to specific points);</w:t>
      </w:r>
    </w:p>
    <w:p w:rsidR="00E847D4" w:rsidRPr="00E847D4" w:rsidRDefault="00E847D4" w:rsidP="00B238C1">
      <w:pPr>
        <w:pStyle w:val="StandardErstzeileneinzug"/>
      </w:pPr>
      <w:r w:rsidRPr="0051022F">
        <w:t>• Object recognition: enhancing or enriching an object in the field of vision of the user;</w:t>
      </w:r>
    </w:p>
    <w:p w:rsidR="00C4539F" w:rsidRPr="00E847D4" w:rsidRDefault="00C4539F" w:rsidP="00C4539F">
      <w:pPr>
        <w:pStyle w:val="berschrift4"/>
        <w:rPr>
          <w:lang w:val="en-US"/>
        </w:rPr>
      </w:pPr>
      <w:bookmarkStart w:id="8" w:name="_Toc469567517"/>
      <w:r w:rsidRPr="00E847D4">
        <w:rPr>
          <w:lang w:val="en-US"/>
        </w:rPr>
        <w:t>Industrial</w:t>
      </w:r>
      <w:bookmarkEnd w:id="8"/>
    </w:p>
    <w:p w:rsidR="00282579" w:rsidRDefault="00386720" w:rsidP="00282579">
      <w:pPr>
        <w:pStyle w:val="StandardErstzeileneinzug"/>
      </w:pPr>
      <w:proofErr w:type="spellStart"/>
      <w:r w:rsidRPr="00FD5995">
        <w:t>Schall</w:t>
      </w:r>
      <w:proofErr w:type="spellEnd"/>
      <w:r w:rsidRPr="00FD5995">
        <w:t xml:space="preserve"> et </w:t>
      </w:r>
      <w:r w:rsidRPr="00386720">
        <w:t xml:space="preserve">al.: </w:t>
      </w:r>
      <w:proofErr w:type="gramStart"/>
      <w:r w:rsidRPr="00386720">
        <w:t>„</w:t>
      </w:r>
      <w:r>
        <w:t>[</w:t>
      </w:r>
      <w:proofErr w:type="gramEnd"/>
      <w:r>
        <w:t>V]</w:t>
      </w:r>
      <w:proofErr w:type="spellStart"/>
      <w:r w:rsidRPr="00386720">
        <w:t>isualization</w:t>
      </w:r>
      <w:proofErr w:type="spellEnd"/>
      <w:r w:rsidRPr="00386720">
        <w:t xml:space="preserve"> of underground infrastructures, such as water mains and electricity lines</w:t>
      </w:r>
      <w:r>
        <w:t>”</w:t>
      </w:r>
      <w:r w:rsidR="00C55CC0">
        <w:t xml:space="preserve"> (=Obscured Information Visualization (OIV) (</w:t>
      </w:r>
      <w:proofErr w:type="spellStart"/>
      <w:r w:rsidR="00C55CC0">
        <w:t>Furmanski</w:t>
      </w:r>
      <w:proofErr w:type="spellEnd"/>
      <w:r w:rsidR="00C55CC0">
        <w:t>, Azuma &amp; Daily (2002)))</w:t>
      </w:r>
    </w:p>
    <w:p w:rsidR="00B24973" w:rsidRDefault="00B24973" w:rsidP="00282579">
      <w:pPr>
        <w:pStyle w:val="StandardErstzeileneinzug"/>
      </w:pPr>
      <w:r>
        <w:t>Azuma (1997 und 2001)</w:t>
      </w:r>
    </w:p>
    <w:p w:rsidR="000D35EE" w:rsidRPr="000D35EE" w:rsidRDefault="000D35EE" w:rsidP="00282579">
      <w:pPr>
        <w:pStyle w:val="StandardErstzeileneinzug"/>
      </w:pPr>
      <w:r>
        <w:t>FitzGerald et al.: “</w:t>
      </w:r>
      <w:r w:rsidRPr="000D35EE">
        <w:t>recent technological advances have enabled the use of any kind of image defined within the AR technology (e.g. the ‘</w:t>
      </w:r>
      <w:proofErr w:type="spellStart"/>
      <w:r w:rsidRPr="000D35EE">
        <w:t>Aurasma</w:t>
      </w:r>
      <w:proofErr w:type="spellEnd"/>
      <w:r w:rsidRPr="000D35EE">
        <w:t>’ mobile phone app [</w:t>
      </w:r>
      <w:hyperlink r:id="rId10" w:history="1">
        <w:r w:rsidRPr="000D35EE">
          <w:rPr>
            <w:rStyle w:val="Hyperlink"/>
          </w:rPr>
          <w:t>http://www.aurasma.com</w:t>
        </w:r>
      </w:hyperlink>
      <w:r w:rsidRPr="000D35EE">
        <w:t>] used primarily for marketing)</w:t>
      </w:r>
      <w:r>
        <w:t>.”</w:t>
      </w:r>
    </w:p>
    <w:p w:rsidR="00C4539F" w:rsidRDefault="00C4539F" w:rsidP="00C4539F">
      <w:pPr>
        <w:pStyle w:val="berschrift4"/>
        <w:rPr>
          <w:lang w:val="en-US"/>
        </w:rPr>
      </w:pPr>
      <w:bookmarkStart w:id="9" w:name="_Toc469567518"/>
      <w:r w:rsidRPr="00C55CC0">
        <w:rPr>
          <w:lang w:val="en-US"/>
        </w:rPr>
        <w:t>Education and expertise transfer</w:t>
      </w:r>
      <w:bookmarkEnd w:id="9"/>
    </w:p>
    <w:p w:rsidR="00EF40A7" w:rsidRDefault="00EF40A7" w:rsidP="00EF40A7">
      <w:pPr>
        <w:pStyle w:val="StandardErstzeileneinzug"/>
      </w:pPr>
      <w:r>
        <w:t>Johnson et al. (2011) – Horizon Report 2011: Time-to-Adoption 2-3 years (“</w:t>
      </w:r>
      <w:r w:rsidRPr="00EF40A7">
        <w:t>likely time frames for their entrance into</w:t>
      </w:r>
      <w:r>
        <w:t xml:space="preserve"> </w:t>
      </w:r>
      <w:r w:rsidRPr="00EF40A7">
        <w:t>mainstream use for</w:t>
      </w:r>
      <w:r>
        <w:t xml:space="preserve"> teaching, learning, or creative </w:t>
      </w:r>
      <w:r w:rsidRPr="00EF40A7">
        <w:t>inquiry.</w:t>
      </w:r>
      <w:r>
        <w:t>)</w:t>
      </w:r>
    </w:p>
    <w:p w:rsidR="005A598C" w:rsidRDefault="005A598C" w:rsidP="005A598C">
      <w:pPr>
        <w:pStyle w:val="StandardErstzeileneinzug"/>
        <w:numPr>
          <w:ilvl w:val="0"/>
          <w:numId w:val="3"/>
        </w:numPr>
      </w:pPr>
      <w:r>
        <w:t xml:space="preserve">Johnson et al. (2016) – Horizon Report 2016 Higher Education Edition </w:t>
      </w:r>
      <w:proofErr w:type="spellStart"/>
      <w:r>
        <w:t>listet</w:t>
      </w:r>
      <w:proofErr w:type="spellEnd"/>
      <w:r>
        <w:t xml:space="preserve"> </w:t>
      </w:r>
      <w:proofErr w:type="spellStart"/>
      <w:r>
        <w:t>es</w:t>
      </w:r>
      <w:proofErr w:type="spellEnd"/>
      <w:r>
        <w:t xml:space="preserve"> </w:t>
      </w:r>
      <w:proofErr w:type="spellStart"/>
      <w:r>
        <w:t>auch</w:t>
      </w:r>
      <w:proofErr w:type="spellEnd"/>
      <w:r>
        <w:t xml:space="preserve"> </w:t>
      </w:r>
      <w:proofErr w:type="spellStart"/>
      <w:proofErr w:type="gramStart"/>
      <w:r>
        <w:t>als</w:t>
      </w:r>
      <w:proofErr w:type="spellEnd"/>
      <w:proofErr w:type="gramEnd"/>
      <w:r>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F57265" w:rsidP="00F57265">
      <w:pPr>
        <w:pStyle w:val="StandardErstzeileneinzug"/>
      </w:pPr>
      <w:r>
        <w:t xml:space="preserve">FitzGerald et al.: </w:t>
      </w:r>
      <w:r w:rsidRPr="00F57265">
        <w:t xml:space="preserve">“At a first glance, the shift from low-tech to mobile-tech and to AR may seem merely quantitative: </w:t>
      </w:r>
      <w:r w:rsidRPr="00F57265">
        <w:rPr>
          <w:b/>
          <w:bCs/>
        </w:rPr>
        <w:t>augmenting/adding to reality has always been a part of outdoor education</w:t>
      </w:r>
      <w:r w:rsidRPr="00F57265">
        <w:t xml:space="preserve">, whether it is through informative signposts at a site, costumed re-enactments of historical events, or straightforward on-site tuition by a teacher or parent. </w:t>
      </w:r>
      <w:r w:rsidRPr="00F57265">
        <w:rPr>
          <w:b/>
          <w:bCs/>
        </w:rPr>
        <w:t>We change our perspectives, understanding and meaning-making of reality</w:t>
      </w:r>
      <w:r w:rsidRPr="00F57265">
        <w:t xml:space="preserve"> by augmenting it with additional information</w:t>
      </w:r>
      <w:r>
        <w:t>.”</w:t>
      </w:r>
    </w:p>
    <w:p w:rsidR="00B24973" w:rsidRDefault="00B24973" w:rsidP="00EF40A7">
      <w:pPr>
        <w:pStyle w:val="StandardErstzeileneinzug"/>
      </w:pPr>
      <w:r w:rsidRPr="00B24973">
        <w:t xml:space="preserve">Dunleavy et al. (2009): “Three complementary technological interfaces are now shaping how people learn, with multiple implications </w:t>
      </w:r>
      <w:r>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lastRenderedPageBreak/>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B94732" w:rsidP="00B94732">
      <w:pPr>
        <w:pStyle w:val="StandardErstzeileneinzug"/>
        <w:rPr>
          <w:lang w:val="de-DE"/>
        </w:rPr>
      </w:pPr>
      <w:proofErr w:type="spellStart"/>
      <w:r w:rsidRPr="00E05709">
        <w:rPr>
          <w:lang w:val="de-DE"/>
        </w:rPr>
        <w:t>Azuma</w:t>
      </w:r>
      <w:proofErr w:type="spellEnd"/>
      <w:r w:rsidRPr="00E05709">
        <w:rPr>
          <w:lang w:val="de-DE"/>
        </w:rPr>
        <w:t xml:space="preserve"> (1997) erwähnen? Besser nur modern</w:t>
      </w:r>
      <w:r w:rsidR="00B24973" w:rsidRPr="00E05709">
        <w:rPr>
          <w:lang w:val="de-DE"/>
        </w:rPr>
        <w:t>e</w:t>
      </w:r>
      <w:r w:rsidRPr="00E05709">
        <w:rPr>
          <w:lang w:val="de-DE"/>
        </w:rPr>
        <w:t xml:space="preserve"> Ve</w:t>
      </w:r>
      <w:r w:rsidRPr="00FD5995">
        <w:rPr>
          <w:lang w:val="de-DE"/>
        </w:rPr>
        <w:t>rgleiche?</w:t>
      </w:r>
    </w:p>
    <w:p w:rsidR="00B94732" w:rsidRPr="00E05709" w:rsidRDefault="00B94732" w:rsidP="00B94732">
      <w:pPr>
        <w:pStyle w:val="StandardErstzeileneinzug"/>
        <w:rPr>
          <w:lang w:val="es-ES_tradnl"/>
        </w:rPr>
      </w:pPr>
      <w:r w:rsidRPr="00E05709">
        <w:rPr>
          <w:lang w:val="es-ES_tradnl"/>
        </w:rPr>
        <w:t>Dunleavy (2009) (Alien Contact)</w:t>
      </w:r>
    </w:p>
    <w:p w:rsidR="00B94732" w:rsidRPr="00A82E0B" w:rsidRDefault="00B94732" w:rsidP="00B94732">
      <w:pPr>
        <w:pStyle w:val="StandardErstzeileneinzug"/>
      </w:pPr>
      <w:r w:rsidRPr="00E05709">
        <w:rPr>
          <w:lang w:val="es-ES_tradnl"/>
        </w:rPr>
        <w:t xml:space="preserve">Yamabe et al. </w:t>
      </w:r>
      <w:r w:rsidR="00A82E0B" w:rsidRPr="00E05709">
        <w:t>(2013):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9658FF" w:rsidRDefault="000F6C54" w:rsidP="00AB4412">
      <w:pPr>
        <w:pStyle w:val="StandardErstzeileneinzug"/>
      </w:pPr>
      <w:r w:rsidRPr="00E05709">
        <w:rPr>
          <w:lang w:val="de-DE"/>
        </w:rPr>
        <w:t xml:space="preserve">Schmitz et al. </w:t>
      </w:r>
      <w:r w:rsidRPr="009658FF">
        <w:t>(2012) (Ed. potential)</w:t>
      </w:r>
      <w:r w:rsidR="009658FF" w:rsidRPr="009658FF">
        <w:t xml:space="preserve">: “For the review we focused on motivational and knowledge learning outcomes. 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FD5995" w:rsidRDefault="000B5FF7" w:rsidP="000B5FF7">
      <w:pPr>
        <w:pStyle w:val="StandardErstzeileneinzug"/>
        <w:rPr>
          <w:lang w:val="de-DE"/>
        </w:rPr>
      </w:pPr>
      <w:r>
        <w:t xml:space="preserve">Dunleavy (2014): </w:t>
      </w:r>
      <w:r w:rsidRPr="000B5FF7">
        <w:t xml:space="preserve">“A review of the literature reveals the following three design principles as instructive: 1. Enable and then challenge (challenge): 2. Drive by gamified story (fantasy); and 3. </w:t>
      </w:r>
      <w:r w:rsidRPr="00FD5995">
        <w:rPr>
          <w:lang w:val="de-DE"/>
        </w:rPr>
        <w:t xml:space="preserve">See </w:t>
      </w:r>
      <w:proofErr w:type="spellStart"/>
      <w:r w:rsidRPr="00FD5995">
        <w:rPr>
          <w:lang w:val="de-DE"/>
        </w:rPr>
        <w:t>the</w:t>
      </w:r>
      <w:proofErr w:type="spellEnd"/>
      <w:r w:rsidRPr="00FD5995">
        <w:rPr>
          <w:lang w:val="de-DE"/>
        </w:rPr>
        <w:t xml:space="preserve"> </w:t>
      </w:r>
      <w:proofErr w:type="spellStart"/>
      <w:r w:rsidRPr="00FD5995">
        <w:rPr>
          <w:lang w:val="de-DE"/>
        </w:rPr>
        <w:t>unseen</w:t>
      </w:r>
      <w:proofErr w:type="spellEnd"/>
      <w:r w:rsidRPr="00FD5995">
        <w:rPr>
          <w:lang w:val="de-DE"/>
        </w:rPr>
        <w:t xml:space="preserve"> (</w:t>
      </w:r>
      <w:proofErr w:type="spellStart"/>
      <w:r w:rsidRPr="00FD5995">
        <w:rPr>
          <w:lang w:val="de-DE"/>
        </w:rPr>
        <w:t>curiosity</w:t>
      </w:r>
      <w:proofErr w:type="spellEnd"/>
      <w:r w:rsidRPr="00FD5995">
        <w:rPr>
          <w:lang w:val="de-DE"/>
        </w:rPr>
        <w:t>).”</w:t>
      </w:r>
    </w:p>
    <w:p w:rsidR="000F6C54" w:rsidRDefault="000F6C54" w:rsidP="00B94732">
      <w:pPr>
        <w:pStyle w:val="StandardErstzeileneinzug"/>
        <w:rPr>
          <w:lang w:val="de-DE"/>
        </w:rPr>
      </w:pPr>
      <w:r w:rsidRPr="0051022F">
        <w:rPr>
          <w:b/>
          <w:lang w:val="de-DE"/>
        </w:rPr>
        <w:t>Wichtige Übersichten</w:t>
      </w:r>
      <w:r w:rsidRPr="000F6C54">
        <w:rPr>
          <w:lang w:val="de-DE"/>
        </w:rPr>
        <w:t xml:space="preserve">: </w:t>
      </w:r>
      <w:r>
        <w:rPr>
          <w:lang w:val="de-DE"/>
        </w:rPr>
        <w:t xml:space="preserve">FitzGerald et al. </w:t>
      </w:r>
      <w:r w:rsidRPr="00FF3529">
        <w:t>(2013)</w:t>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Bower et al. </w:t>
      </w:r>
      <w:r>
        <w:rPr>
          <w:lang w:val="de-DE"/>
        </w:rPr>
        <w:t>(2014), Radu (2014)</w:t>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Project</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Device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Technology</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Mode </w:t>
      </w:r>
      <w:proofErr w:type="spellStart"/>
      <w:r>
        <w:rPr>
          <w:rFonts w:ascii="Arial" w:hAnsi="Arial" w:cs="Arial"/>
          <w:i/>
          <w:iCs/>
          <w:color w:val="000000"/>
          <w:sz w:val="22"/>
          <w:szCs w:val="22"/>
        </w:rPr>
        <w:t>of</w:t>
      </w:r>
      <w:proofErr w:type="spellEnd"/>
      <w:r>
        <w:rPr>
          <w:rFonts w:ascii="Arial" w:hAnsi="Arial" w:cs="Arial"/>
          <w:i/>
          <w:iCs/>
          <w:color w:val="000000"/>
          <w:sz w:val="22"/>
          <w:szCs w:val="22"/>
        </w:rPr>
        <w:t xml:space="preserve"> Interaction / Learning Design</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proofErr w:type="spellStart"/>
      <w:r>
        <w:rPr>
          <w:rFonts w:ascii="Arial" w:hAnsi="Arial" w:cs="Arial"/>
          <w:i/>
          <w:iCs/>
          <w:color w:val="000000"/>
          <w:sz w:val="22"/>
          <w:szCs w:val="22"/>
        </w:rPr>
        <w:t>Method</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of</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Sensory</w:t>
      </w:r>
      <w:proofErr w:type="spellEnd"/>
      <w:r>
        <w:rPr>
          <w:rFonts w:ascii="Arial" w:hAnsi="Arial" w:cs="Arial"/>
          <w:i/>
          <w:iCs/>
          <w:color w:val="000000"/>
          <w:sz w:val="22"/>
          <w:szCs w:val="22"/>
        </w:rPr>
        <w:t xml:space="preserve"> Feedback</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Personal / </w:t>
      </w:r>
      <w:proofErr w:type="spellStart"/>
      <w:r>
        <w:rPr>
          <w:rFonts w:ascii="Arial" w:hAnsi="Arial" w:cs="Arial"/>
          <w:i/>
          <w:iCs/>
          <w:color w:val="000000"/>
          <w:sz w:val="22"/>
          <w:szCs w:val="22"/>
        </w:rPr>
        <w:t>Shared</w:t>
      </w:r>
      <w:proofErr w:type="spellEnd"/>
      <w:r>
        <w:rPr>
          <w:rFonts w:ascii="Arial" w:hAnsi="Arial" w:cs="Arial"/>
          <w:i/>
          <w:iCs/>
          <w:color w:val="000000"/>
          <w:sz w:val="22"/>
          <w:szCs w:val="22"/>
        </w:rPr>
        <w:t xml:space="preserve"> Experience</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Fixed/</w:t>
      </w:r>
      <w:proofErr w:type="spellStart"/>
      <w:r>
        <w:rPr>
          <w:rFonts w:ascii="Arial" w:hAnsi="Arial" w:cs="Arial"/>
          <w:i/>
          <w:iCs/>
          <w:color w:val="000000"/>
          <w:sz w:val="22"/>
          <w:szCs w:val="22"/>
        </w:rPr>
        <w:t>Static</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Portable Experience</w:t>
      </w:r>
    </w:p>
    <w:p w:rsidR="008D4F8D" w:rsidRP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Learning </w:t>
      </w:r>
      <w:proofErr w:type="spellStart"/>
      <w:r>
        <w:rPr>
          <w:rFonts w:ascii="Arial" w:hAnsi="Arial" w:cs="Arial"/>
          <w:i/>
          <w:iCs/>
          <w:color w:val="000000"/>
          <w:sz w:val="22"/>
          <w:szCs w:val="22"/>
        </w:rPr>
        <w:t>Activities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Outcomes</w:t>
      </w:r>
    </w:p>
    <w:p w:rsidR="00C84A0F" w:rsidRDefault="00C84A0F" w:rsidP="00B94732">
      <w:pPr>
        <w:pStyle w:val="StandardErstzeileneinzug"/>
        <w:rPr>
          <w:b/>
          <w:lang w:val="de-DE"/>
        </w:rPr>
      </w:pPr>
      <w:proofErr w:type="spellStart"/>
      <w:r>
        <w:rPr>
          <w:lang w:val="de-DE"/>
        </w:rPr>
        <w:t>Soga</w:t>
      </w:r>
      <w:proofErr w:type="spellEnd"/>
      <w:r>
        <w:rPr>
          <w:lang w:val="de-DE"/>
        </w:rPr>
        <w:t xml:space="preserve">, </w:t>
      </w:r>
      <w:proofErr w:type="spellStart"/>
      <w:r>
        <w:rPr>
          <w:lang w:val="de-DE"/>
        </w:rPr>
        <w:t>Nishino</w:t>
      </w:r>
      <w:proofErr w:type="spellEnd"/>
      <w:r>
        <w:rPr>
          <w:lang w:val="de-DE"/>
        </w:rPr>
        <w:t xml:space="preserve"> &amp; </w:t>
      </w:r>
      <w:proofErr w:type="spellStart"/>
      <w:r>
        <w:rPr>
          <w:lang w:val="de-DE"/>
        </w:rPr>
        <w:t>Tashi</w:t>
      </w:r>
      <w:proofErr w:type="spellEnd"/>
      <w:r>
        <w:rPr>
          <w:lang w:val="de-DE"/>
        </w:rPr>
        <w:t xml:space="preserve">: </w:t>
      </w:r>
      <w:proofErr w:type="spellStart"/>
      <w:r>
        <w:rPr>
          <w:lang w:val="de-DE"/>
        </w:rPr>
        <w:t>Skeletal</w:t>
      </w:r>
      <w:proofErr w:type="spellEnd"/>
      <w:r>
        <w:rPr>
          <w:lang w:val="de-DE"/>
        </w:rPr>
        <w:t xml:space="preserve"> </w:t>
      </w:r>
      <w:proofErr w:type="spellStart"/>
      <w:r>
        <w:rPr>
          <w:lang w:val="de-DE"/>
        </w:rPr>
        <w:t>tracking</w:t>
      </w:r>
      <w:proofErr w:type="spellEnd"/>
      <w:r>
        <w:rPr>
          <w:lang w:val="de-DE"/>
        </w:rPr>
        <w:t xml:space="preserve"> (Bogenschießen, Visualisierung des Experten) </w:t>
      </w:r>
      <w:r w:rsidRPr="00C84A0F">
        <w:rPr>
          <w:b/>
          <w:lang w:val="de-DE"/>
        </w:rPr>
        <w:t>(Quelle eingeschränkt, also am besten nur am Rand erwähnen)</w:t>
      </w:r>
    </w:p>
    <w:p w:rsidR="00B62C35" w:rsidRDefault="00B62C35" w:rsidP="00B94732">
      <w:pPr>
        <w:pStyle w:val="StandardErstzeileneinzug"/>
        <w:rPr>
          <w:lang w:val="de-DE"/>
        </w:rPr>
      </w:pPr>
      <w:r>
        <w:rPr>
          <w:lang w:val="de-DE"/>
        </w:rPr>
        <w:t xml:space="preserve">Dede (2009): </w:t>
      </w:r>
      <w:proofErr w:type="spellStart"/>
      <w:r>
        <w:rPr>
          <w:lang w:val="de-DE"/>
        </w:rPr>
        <w:t>Immersive</w:t>
      </w:r>
      <w:proofErr w:type="spellEnd"/>
      <w:r>
        <w:rPr>
          <w:lang w:val="de-DE"/>
        </w:rPr>
        <w:t xml:space="preserve"> Learning (Referenziert von </w:t>
      </w:r>
      <w:proofErr w:type="spellStart"/>
      <w:r>
        <w:rPr>
          <w:lang w:val="de-DE"/>
        </w:rPr>
        <w:t>Ternier</w:t>
      </w:r>
      <w:proofErr w:type="spellEnd"/>
      <w:r>
        <w:rPr>
          <w:lang w:val="de-DE"/>
        </w:rPr>
        <w:t xml:space="preserve"> et al. (2012) (Brown &amp; </w:t>
      </w:r>
      <w:proofErr w:type="spellStart"/>
      <w:r>
        <w:rPr>
          <w:lang w:val="de-DE"/>
        </w:rPr>
        <w:t>Cairns</w:t>
      </w:r>
      <w:proofErr w:type="spellEnd"/>
      <w:r>
        <w:rPr>
          <w:lang w:val="de-DE"/>
        </w:rPr>
        <w:t xml:space="preserve"> könnten erwähnt werden, ist aber fragwürdig (auch weil </w:t>
      </w:r>
      <w:proofErr w:type="spellStart"/>
      <w:r>
        <w:rPr>
          <w:lang w:val="de-DE"/>
        </w:rPr>
        <w:t>Ternier</w:t>
      </w:r>
      <w:proofErr w:type="spellEnd"/>
      <w:r>
        <w:rPr>
          <w:lang w:val="de-DE"/>
        </w:rPr>
        <w:t xml:space="preserve"> das gleiche macht)))</w:t>
      </w:r>
    </w:p>
    <w:p w:rsidR="00B238C1" w:rsidRDefault="00B238C1" w:rsidP="00B94732">
      <w:pPr>
        <w:pStyle w:val="StandardErstzeileneinzug"/>
      </w:pPr>
      <w:r w:rsidRPr="00B238C1">
        <w:t xml:space="preserve">Bower </w:t>
      </w:r>
      <w:r>
        <w:t xml:space="preserve">et al. (2014) </w:t>
      </w:r>
      <w:proofErr w:type="spellStart"/>
      <w:r w:rsidRPr="00B238C1">
        <w:t>kritisiert</w:t>
      </w:r>
      <w:proofErr w:type="spellEnd"/>
      <w:r w:rsidRPr="00B238C1">
        <w:t xml:space="preserve"> </w:t>
      </w:r>
      <w:proofErr w:type="spellStart"/>
      <w:r w:rsidRPr="00B238C1">
        <w:t>Ansätze</w:t>
      </w:r>
      <w:proofErr w:type="spellEnd"/>
      <w:r w:rsidRPr="00B238C1">
        <w:t xml:space="preserve">: “In the vast majority of instances described above, Augmented Reality is being used by educators to provide students with pre-packaged learning experiences. This can lead to the situation where Augmented Reality only develops lower order </w:t>
      </w:r>
      <w:r w:rsidRPr="00B238C1">
        <w:lastRenderedPageBreak/>
        <w:t>thinking skills by supporting understanding and application, without encouraging higher order integrative thinking skills such as analysis, evaluation and creation.”</w:t>
      </w:r>
    </w:p>
    <w:p w:rsidR="00B238C1" w:rsidRDefault="00B238C1" w:rsidP="00B94732">
      <w:pPr>
        <w:pStyle w:val="StandardErstzeileneinzug"/>
      </w:pPr>
      <w:r w:rsidRPr="0044065F">
        <w:t xml:space="preserve">Bower et al. </w:t>
      </w:r>
      <w:r w:rsidRPr="00B238C1">
        <w:t xml:space="preserve">(2014) </w:t>
      </w:r>
      <w:proofErr w:type="spellStart"/>
      <w:r w:rsidRPr="00B238C1">
        <w:t>schlägt</w:t>
      </w:r>
      <w:proofErr w:type="spellEnd"/>
      <w:r w:rsidRPr="00B238C1">
        <w:t xml:space="preserve"> </w:t>
      </w:r>
      <w:proofErr w:type="spellStart"/>
      <w:r w:rsidRPr="00B238C1">
        <w:t>stattdessen</w:t>
      </w:r>
      <w:proofErr w:type="spellEnd"/>
      <w:r w:rsidRPr="00B238C1">
        <w:t xml:space="preserve"> Design </w:t>
      </w:r>
      <w:proofErr w:type="spellStart"/>
      <w:r w:rsidRPr="00B238C1">
        <w:t>als</w:t>
      </w:r>
      <w:proofErr w:type="spellEnd"/>
      <w:r w:rsidRPr="00B238C1">
        <w:t xml:space="preserve"> Alternative </w:t>
      </w:r>
      <w:proofErr w:type="spellStart"/>
      <w:r w:rsidRPr="00B238C1">
        <w:t>vor</w:t>
      </w:r>
      <w:proofErr w:type="spellEnd"/>
      <w:r w:rsidRPr="00B238C1">
        <w:t xml:space="preserve"> (und </w:t>
      </w:r>
      <w:proofErr w:type="spellStart"/>
      <w:r w:rsidRPr="00B238C1">
        <w:t>gibt</w:t>
      </w:r>
      <w:proofErr w:type="spellEnd"/>
      <w:r w:rsidRPr="00B238C1">
        <w:t xml:space="preserve"> </w:t>
      </w:r>
      <w:proofErr w:type="spellStart"/>
      <w:r w:rsidRPr="00B238C1">
        <w:t>Beispiel</w:t>
      </w:r>
      <w:proofErr w:type="spellEnd"/>
      <w:r w:rsidRPr="00B238C1">
        <w:t xml:space="preserve"> </w:t>
      </w:r>
      <w:proofErr w:type="spellStart"/>
      <w:r w:rsidRPr="00B238C1">
        <w:t>dafür</w:t>
      </w:r>
      <w:proofErr w:type="spellEnd"/>
      <w:r w:rsidRPr="00B238C1">
        <w:t xml:space="preserve">): “The students, accompanied by their teachers, were invited to select a sculpture of their choice from the University Sculpture Park and then, using the </w:t>
      </w:r>
      <w:proofErr w:type="spellStart"/>
      <w:r w:rsidRPr="00B238C1">
        <w:t>Aurasma</w:t>
      </w:r>
      <w:proofErr w:type="spellEnd"/>
      <w:r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B238C1" w:rsidP="00B94732">
      <w:pPr>
        <w:pStyle w:val="StandardErstzeileneinzug"/>
      </w:pPr>
      <w:r>
        <w:t xml:space="preserve">Bower et al. (2014): </w:t>
      </w:r>
      <w:r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0" w:name="_Toc469567519"/>
      <w:r w:rsidRPr="000F6C54">
        <w:rPr>
          <w:lang w:val="en-US"/>
        </w:rPr>
        <w:t>Augmented reality games</w:t>
      </w:r>
      <w:bookmarkEnd w:id="10"/>
    </w:p>
    <w:p w:rsidR="00A51483" w:rsidRDefault="00A51483" w:rsidP="00A51483">
      <w:pPr>
        <w:pStyle w:val="StandardErstzeileneinzug"/>
      </w:pPr>
      <w:r>
        <w:t>Wetzel (2013):</w:t>
      </w:r>
      <w:r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AE6563" w:rsidP="00A51483">
      <w:pPr>
        <w:pStyle w:val="StandardErstzeileneinzug"/>
      </w:pPr>
      <w:r>
        <w:t xml:space="preserve">Wetzel (2013): </w:t>
      </w:r>
      <w:r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Pr="00AE6563">
        <w:t>belongs</w:t>
      </w:r>
      <w:proofErr w:type="gramEnd"/>
      <w:r w:rsidRPr="00AE6563">
        <w:t xml:space="preserve"> to the other two.”</w:t>
      </w:r>
      <w:r>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AE6563" w:rsidP="00A51483">
      <w:pPr>
        <w:pStyle w:val="StandardErstzeileneinzug"/>
        <w:rPr>
          <w:i/>
          <w:lang w:val="de-DE"/>
        </w:rPr>
      </w:pPr>
      <w:r w:rsidRPr="00AE6563">
        <w:rPr>
          <w:lang w:val="de-DE"/>
        </w:rPr>
        <w:t>Wetzel (2013) gibt Beispiel (Füllmaterial), unter anderem Geocaching</w:t>
      </w:r>
      <w:r>
        <w:rPr>
          <w:lang w:val="de-DE"/>
        </w:rPr>
        <w:t xml:space="preserve"> </w:t>
      </w:r>
      <w:r w:rsidRPr="00AE6563">
        <w:rPr>
          <w:i/>
          <w:lang w:val="de-DE"/>
        </w:rPr>
        <w:t>(Passt das in einen strikten AR-Bereich?)</w:t>
      </w:r>
      <w:r w:rsidR="00F57265">
        <w:rPr>
          <w:i/>
          <w:lang w:val="de-DE"/>
        </w:rPr>
        <w:t>(FitzGerald sieht es wohl nicht so (sagt es nicht explizit))</w:t>
      </w:r>
    </w:p>
    <w:p w:rsidR="0067309E" w:rsidRPr="0067309E" w:rsidRDefault="0067309E" w:rsidP="00A51483">
      <w:pPr>
        <w:pStyle w:val="StandardErstzeileneinzug"/>
      </w:pPr>
      <w:r w:rsidRPr="0067309E">
        <w:t>Wetzel (2013):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45779C" w:rsidP="00A51483">
      <w:pPr>
        <w:pStyle w:val="StandardErstzeileneinzug"/>
      </w:pPr>
      <w:r w:rsidRPr="003742A1">
        <w:t xml:space="preserve">Johnson et al. </w:t>
      </w:r>
      <w:r w:rsidRPr="0045779C">
        <w:t>(2011): “Augmented reality is an active, not a passive technology”</w:t>
      </w:r>
      <w:r>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60479C" w:rsidP="00A51483">
      <w:pPr>
        <w:pStyle w:val="StandardErstzeileneinzug"/>
      </w:pPr>
      <w:r>
        <w:lastRenderedPageBreak/>
        <w:t>FitzGerald et al.: “</w:t>
      </w:r>
      <w:r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Wetzel et al., 2008)</w:t>
      </w:r>
    </w:p>
    <w:p w:rsidR="00C732DA" w:rsidRPr="0060479C" w:rsidRDefault="00C732DA" w:rsidP="00A51483">
      <w:pPr>
        <w:pStyle w:val="StandardErstzeileneinzug"/>
        <w:rPr>
          <w:i/>
        </w:rPr>
      </w:pPr>
      <w:proofErr w:type="spellStart"/>
      <w:r w:rsidRPr="0060479C">
        <w:rPr>
          <w:i/>
        </w:rPr>
        <w:t>Pokemon</w:t>
      </w:r>
      <w:proofErr w:type="spellEnd"/>
      <w:r w:rsidRPr="0060479C">
        <w:rPr>
          <w:i/>
        </w:rPr>
        <w:t xml:space="preserve"> Go</w:t>
      </w:r>
    </w:p>
    <w:p w:rsidR="00C732DA" w:rsidRDefault="00C732DA" w:rsidP="00A51483">
      <w:pPr>
        <w:pStyle w:val="StandardErstzeileneinzug"/>
      </w:pPr>
      <w:r>
        <w:t xml:space="preserve">Design </w:t>
      </w:r>
      <w:proofErr w:type="spellStart"/>
      <w:r>
        <w:t>Prinzipien</w:t>
      </w:r>
      <w:proofErr w:type="spellEnd"/>
      <w:r>
        <w:t xml:space="preserve"> von Wetzel el al. (2008)</w:t>
      </w:r>
    </w:p>
    <w:p w:rsidR="00605967" w:rsidRDefault="00605967" w:rsidP="00A51483">
      <w:pPr>
        <w:pStyle w:val="StandardErstzeileneinzug"/>
      </w:pPr>
      <w:r>
        <w:t>Dunleavy (2014): Dino Dig (</w:t>
      </w:r>
      <w:r w:rsidRPr="00605967">
        <w:t>“Although the main purpose of Dino Dig was to entertain, these same design principles of enabling and then challenging could be used in an AR experience with specific learning objectives.”</w:t>
      </w:r>
      <w:r>
        <w:t>)</w:t>
      </w:r>
    </w:p>
    <w:p w:rsidR="003742A1" w:rsidRDefault="003742A1" w:rsidP="00A51483">
      <w:pPr>
        <w:pStyle w:val="StandardErstzeileneinzug"/>
      </w:pPr>
      <w:proofErr w:type="spellStart"/>
      <w:r>
        <w:t>Antonacci</w:t>
      </w:r>
      <w:proofErr w:type="spellEnd"/>
      <w:r>
        <w:t xml:space="preserve"> et al. (2015): </w:t>
      </w:r>
      <w:r w:rsidRPr="003742A1">
        <w:t>“</w:t>
      </w:r>
      <w:r>
        <w:t>[L]</w:t>
      </w:r>
      <w:proofErr w:type="spellStart"/>
      <w:r>
        <w:t>ittle</w:t>
      </w:r>
      <w:proofErr w:type="spellEnd"/>
      <w:r>
        <w:t xml:space="preserve"> </w:t>
      </w:r>
      <w:r w:rsidRPr="003742A1">
        <w:t>is known on how to systematically apply game-design patterns to augmented reality.”</w:t>
      </w:r>
      <w:r w:rsidR="00A51483">
        <w:t xml:space="preserve"> – Ansatz </w:t>
      </w:r>
      <w:proofErr w:type="spellStart"/>
      <w:r w:rsidR="00A51483">
        <w:t>für</w:t>
      </w:r>
      <w:proofErr w:type="spellEnd"/>
      <w:r w:rsidR="00A51483">
        <w:t xml:space="preserve"> Patterns </w:t>
      </w:r>
      <w:proofErr w:type="spellStart"/>
      <w:r w:rsidR="00A51483">
        <w:t>für</w:t>
      </w:r>
      <w:proofErr w:type="spellEnd"/>
      <w:r w:rsidR="00A51483">
        <w:t xml:space="preserve"> AR </w:t>
      </w:r>
      <w:r w:rsidR="0014236C">
        <w:t>Serious Games.</w:t>
      </w:r>
      <w:r w:rsidR="0014236C">
        <w:br/>
      </w:r>
      <w:r w:rsidR="00A51483">
        <w:t>Wetzel (2013)</w:t>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Default="007C676F" w:rsidP="007C676F">
      <w:pPr>
        <w:pStyle w:val="StandardErstzeileneinzug"/>
      </w:pPr>
      <w:r w:rsidRPr="007C676F">
        <w:t>Wetzel et al. (2008): “Guidelines for Designing Augmented Reality Games” (</w:t>
      </w:r>
      <w:proofErr w:type="spellStart"/>
      <w:r w:rsidRPr="007C676F">
        <w:t>nicht</w:t>
      </w:r>
      <w:proofErr w:type="spellEnd"/>
      <w:r w:rsidRPr="007C676F">
        <w:t xml:space="preserve"> Mobile, </w:t>
      </w:r>
      <w:proofErr w:type="spellStart"/>
      <w:r w:rsidRPr="007C676F">
        <w:t>nicht</w:t>
      </w:r>
      <w:proofErr w:type="spellEnd"/>
      <w:r w:rsidRPr="007C676F">
        <w:t xml:space="preserve"> MR)</w:t>
      </w:r>
      <w:r>
        <w:t xml:space="preserve">: </w:t>
      </w:r>
      <w:r w:rsidRPr="007C676F">
        <w:t xml:space="preserve">“While issues relating to this area have been considered, </w:t>
      </w:r>
      <w:r w:rsidRPr="007C676F">
        <w:rPr>
          <w:b/>
          <w:bCs/>
        </w:rPr>
        <w:t>to date most of the emphasis has been on the technology aspects</w:t>
      </w:r>
      <w:r w:rsidRPr="007C676F">
        <w:t>. Furthermore it is almost always assumed that the augmented reality element in itself will provide a sufficient experience for the player. This has led to a need to evaluate what makes a successful augmented reality game.”</w:t>
      </w:r>
    </w:p>
    <w:p w:rsidR="004A0BD1" w:rsidRDefault="004A0BD1" w:rsidP="007C676F">
      <w:pPr>
        <w:pStyle w:val="StandardErstzeileneinzug"/>
      </w:pPr>
      <w:r>
        <w:t xml:space="preserve">Wetzel et al. (2008): Guidelines/Patterns: </w:t>
      </w:r>
    </w:p>
    <w:p w:rsidR="004A0BD1" w:rsidRPr="004A0BD1" w:rsidRDefault="004A0BD1" w:rsidP="004A0BD1">
      <w:pPr>
        <w:pStyle w:val="StandardErstzeileneinzug"/>
        <w:numPr>
          <w:ilvl w:val="0"/>
          <w:numId w:val="2"/>
        </w:numPr>
      </w:pPr>
      <w:r>
        <w:rPr>
          <w:rFonts w:ascii="Arial" w:hAnsi="Arial" w:cs="Arial"/>
          <w:i/>
          <w:iCs/>
          <w:color w:val="000000"/>
          <w:szCs w:val="22"/>
        </w:rPr>
        <w:t>Experiences First, Technology Second</w:t>
      </w:r>
    </w:p>
    <w:p w:rsidR="004A0BD1" w:rsidRPr="004A0BD1" w:rsidRDefault="004A0BD1" w:rsidP="004A0BD1">
      <w:pPr>
        <w:pStyle w:val="StandardErstzeileneinzug"/>
        <w:numPr>
          <w:ilvl w:val="0"/>
          <w:numId w:val="2"/>
        </w:numPr>
      </w:pPr>
      <w:r>
        <w:rPr>
          <w:rFonts w:ascii="Arial" w:hAnsi="Arial" w:cs="Arial"/>
          <w:i/>
          <w:iCs/>
          <w:color w:val="000000"/>
          <w:szCs w:val="22"/>
        </w:rPr>
        <w:t>Stick to the theme</w:t>
      </w:r>
    </w:p>
    <w:p w:rsidR="004A0BD1" w:rsidRPr="004A0BD1" w:rsidRDefault="004A0BD1" w:rsidP="004A0BD1">
      <w:pPr>
        <w:pStyle w:val="StandardErstzeileneinzug"/>
        <w:numPr>
          <w:ilvl w:val="0"/>
          <w:numId w:val="2"/>
        </w:numPr>
      </w:pPr>
      <w:r>
        <w:rPr>
          <w:rFonts w:ascii="Arial" w:hAnsi="Arial" w:cs="Arial"/>
          <w:i/>
          <w:iCs/>
          <w:color w:val="000000"/>
          <w:szCs w:val="22"/>
        </w:rPr>
        <w:t>Do not stay digital</w:t>
      </w:r>
    </w:p>
    <w:p w:rsidR="004A0BD1" w:rsidRPr="004A0BD1" w:rsidRDefault="004A0BD1" w:rsidP="004A0BD1">
      <w:pPr>
        <w:pStyle w:val="StandardErstzeileneinzug"/>
        <w:numPr>
          <w:ilvl w:val="0"/>
          <w:numId w:val="2"/>
        </w:numPr>
      </w:pPr>
      <w:r>
        <w:rPr>
          <w:rFonts w:ascii="Arial" w:hAnsi="Arial" w:cs="Arial"/>
          <w:i/>
          <w:iCs/>
          <w:color w:val="000000"/>
          <w:szCs w:val="22"/>
        </w:rPr>
        <w:t>Use the Real Environment</w:t>
      </w:r>
    </w:p>
    <w:p w:rsidR="004A0BD1" w:rsidRPr="004A0BD1" w:rsidRDefault="004A0BD1" w:rsidP="004A0BD1">
      <w:pPr>
        <w:pStyle w:val="StandardErstzeileneinzug"/>
        <w:numPr>
          <w:ilvl w:val="0"/>
          <w:numId w:val="2"/>
        </w:numPr>
      </w:pPr>
      <w:r>
        <w:rPr>
          <w:rFonts w:ascii="Arial" w:hAnsi="Arial" w:cs="Arial"/>
          <w:i/>
          <w:iCs/>
          <w:color w:val="000000"/>
          <w:szCs w:val="22"/>
        </w:rPr>
        <w:t>Keep it simple</w:t>
      </w:r>
    </w:p>
    <w:p w:rsidR="004A0BD1" w:rsidRPr="004A0BD1" w:rsidRDefault="004A0BD1" w:rsidP="004A0BD1">
      <w:pPr>
        <w:pStyle w:val="StandardErstzeileneinzug"/>
        <w:numPr>
          <w:ilvl w:val="0"/>
          <w:numId w:val="2"/>
        </w:numPr>
      </w:pPr>
      <w:r>
        <w:rPr>
          <w:rFonts w:ascii="Arial" w:hAnsi="Arial" w:cs="Arial"/>
          <w:i/>
          <w:iCs/>
          <w:color w:val="000000"/>
          <w:szCs w:val="22"/>
        </w:rPr>
        <w:t>Create Sharable Experiences</w:t>
      </w:r>
    </w:p>
    <w:p w:rsidR="004A0BD1" w:rsidRPr="004A0BD1" w:rsidRDefault="004A0BD1" w:rsidP="004A0BD1">
      <w:pPr>
        <w:pStyle w:val="StandardErstzeileneinzug"/>
        <w:numPr>
          <w:ilvl w:val="0"/>
          <w:numId w:val="2"/>
        </w:numPr>
      </w:pPr>
      <w:r>
        <w:rPr>
          <w:rFonts w:ascii="Arial" w:hAnsi="Arial" w:cs="Arial"/>
          <w:i/>
          <w:iCs/>
          <w:color w:val="000000"/>
          <w:szCs w:val="22"/>
        </w:rPr>
        <w:t>Use Various Social Elements</w:t>
      </w:r>
    </w:p>
    <w:p w:rsidR="004A0BD1" w:rsidRPr="004A0BD1" w:rsidRDefault="004A0BD1" w:rsidP="004A0BD1">
      <w:pPr>
        <w:pStyle w:val="StandardErstzeileneinzug"/>
        <w:numPr>
          <w:ilvl w:val="0"/>
          <w:numId w:val="2"/>
        </w:numPr>
      </w:pPr>
      <w:r>
        <w:rPr>
          <w:rFonts w:ascii="Arial" w:hAnsi="Arial" w:cs="Arial"/>
          <w:i/>
          <w:iCs/>
          <w:color w:val="000000"/>
          <w:szCs w:val="22"/>
        </w:rPr>
        <w:t>Show Reality</w:t>
      </w:r>
    </w:p>
    <w:p w:rsidR="004A0BD1" w:rsidRPr="004A0BD1" w:rsidRDefault="004A0BD1" w:rsidP="004A0BD1">
      <w:pPr>
        <w:pStyle w:val="StandardErstzeileneinzug"/>
        <w:numPr>
          <w:ilvl w:val="0"/>
          <w:numId w:val="2"/>
        </w:numPr>
      </w:pPr>
      <w:r>
        <w:rPr>
          <w:rFonts w:ascii="Arial" w:hAnsi="Arial" w:cs="Arial"/>
          <w:i/>
          <w:iCs/>
          <w:color w:val="000000"/>
          <w:szCs w:val="22"/>
        </w:rPr>
        <w:t>Turn weaknesses into strengths</w:t>
      </w:r>
    </w:p>
    <w:p w:rsidR="004A0BD1" w:rsidRPr="004A0BD1" w:rsidRDefault="004A0BD1" w:rsidP="004A0BD1">
      <w:pPr>
        <w:pStyle w:val="StandardErstzeileneinzug"/>
        <w:numPr>
          <w:ilvl w:val="0"/>
          <w:numId w:val="2"/>
        </w:numPr>
      </w:pPr>
      <w:r>
        <w:rPr>
          <w:rFonts w:ascii="Arial" w:hAnsi="Arial" w:cs="Arial"/>
          <w:i/>
          <w:iCs/>
          <w:color w:val="000000"/>
          <w:szCs w:val="22"/>
        </w:rPr>
        <w:t>Do not just convert</w:t>
      </w:r>
    </w:p>
    <w:p w:rsidR="004A0BD1" w:rsidRPr="004A0BD1" w:rsidRDefault="004A0BD1" w:rsidP="004A0BD1">
      <w:pPr>
        <w:pStyle w:val="StandardErstzeileneinzug"/>
        <w:numPr>
          <w:ilvl w:val="0"/>
          <w:numId w:val="2"/>
        </w:numPr>
      </w:pPr>
      <w:r>
        <w:rPr>
          <w:rFonts w:ascii="Arial" w:hAnsi="Arial" w:cs="Arial"/>
          <w:i/>
          <w:iCs/>
          <w:color w:val="000000"/>
          <w:szCs w:val="22"/>
        </w:rPr>
        <w:t>Create meaningful content</w:t>
      </w:r>
    </w:p>
    <w:p w:rsidR="004A0BD1" w:rsidRPr="004A0BD1" w:rsidRDefault="004A0BD1" w:rsidP="004A0BD1">
      <w:pPr>
        <w:pStyle w:val="StandardErstzeileneinzug"/>
        <w:numPr>
          <w:ilvl w:val="0"/>
          <w:numId w:val="2"/>
        </w:numPr>
      </w:pPr>
      <w:r>
        <w:rPr>
          <w:rFonts w:ascii="Arial" w:hAnsi="Arial" w:cs="Arial"/>
          <w:i/>
          <w:iCs/>
          <w:color w:val="000000"/>
          <w:szCs w:val="22"/>
        </w:rPr>
        <w:t>Choose your tracking wisely</w:t>
      </w:r>
    </w:p>
    <w:p w:rsidR="004A0BD1" w:rsidRDefault="004A0BD1" w:rsidP="004A0BD1">
      <w:pPr>
        <w:pStyle w:val="StandardErstzeileneinzug"/>
        <w:numPr>
          <w:ilvl w:val="0"/>
          <w:numId w:val="2"/>
        </w:numPr>
      </w:pPr>
    </w:p>
    <w:p w:rsidR="007C676F" w:rsidRPr="007C676F" w:rsidRDefault="007C676F" w:rsidP="007C676F">
      <w:pPr>
        <w:pStyle w:val="StandardErstzeileneinzug"/>
      </w:pPr>
      <w:r>
        <w:t xml:space="preserve">Wetzel et al. (2008): </w:t>
      </w:r>
      <w:r w:rsidRPr="007C676F">
        <w:t xml:space="preserve">“When playing an AR game, the player needs to be equipped with </w:t>
      </w:r>
      <w:r w:rsidRPr="007C676F">
        <w:rPr>
          <w:b/>
          <w:bCs/>
        </w:rPr>
        <w:t>appropriate hardware</w:t>
      </w:r>
      <w:r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t>”</w:t>
      </w:r>
    </w:p>
    <w:p w:rsidR="007C676F" w:rsidRDefault="007C676F" w:rsidP="001B1B51">
      <w:pPr>
        <w:pStyle w:val="StandardErstzeileneinzug"/>
        <w:rPr>
          <w:lang w:val="de-DE"/>
        </w:rPr>
      </w:pPr>
      <w:r>
        <w:t xml:space="preserve">Wetzel et al. (2008): </w:t>
      </w:r>
      <w:r w:rsidRPr="007C676F">
        <w:t xml:space="preserve">“In addition to games developed within research groups, there exists a small amount of commercially available AR games. </w:t>
      </w:r>
      <w:r w:rsidRPr="007C676F">
        <w:rPr>
          <w:lang w:val="de-DE"/>
        </w:rPr>
        <w:t xml:space="preserve">The </w:t>
      </w:r>
      <w:proofErr w:type="spellStart"/>
      <w:r w:rsidRPr="007C676F">
        <w:rPr>
          <w:lang w:val="de-DE"/>
        </w:rPr>
        <w:t>first</w:t>
      </w:r>
      <w:proofErr w:type="spellEnd"/>
      <w:r w:rsidRPr="007C676F">
        <w:rPr>
          <w:lang w:val="de-DE"/>
        </w:rPr>
        <w:t xml:space="preserve"> was </w:t>
      </w:r>
      <w:r w:rsidRPr="007C676F">
        <w:rPr>
          <w:b/>
          <w:bCs/>
          <w:lang w:val="de-DE"/>
        </w:rPr>
        <w:t xml:space="preserve">Eye </w:t>
      </w:r>
      <w:proofErr w:type="spellStart"/>
      <w:r w:rsidRPr="007C676F">
        <w:rPr>
          <w:b/>
          <w:bCs/>
          <w:lang w:val="de-DE"/>
        </w:rPr>
        <w:t>Toy</w:t>
      </w:r>
      <w:proofErr w:type="spellEnd"/>
      <w:r w:rsidRPr="007C676F">
        <w:rPr>
          <w:b/>
          <w:bCs/>
          <w:lang w:val="de-DE"/>
        </w:rPr>
        <w:t>®</w:t>
      </w:r>
      <w:r w:rsidRPr="007C676F">
        <w:rPr>
          <w:lang w:val="de-DE"/>
        </w:rPr>
        <w:t xml:space="preserve">.” </w:t>
      </w:r>
      <w:r w:rsidRPr="007C676F">
        <w:rPr>
          <w:b/>
          <w:i/>
          <w:lang w:val="de-DE"/>
        </w:rPr>
        <w:t>DIESER TEIL KÖNNTE AUCH IN SENSORS.</w:t>
      </w:r>
    </w:p>
    <w:p w:rsidR="007C676F" w:rsidRDefault="007C676F" w:rsidP="001B1B51">
      <w:pPr>
        <w:pStyle w:val="StandardErstzeileneinzug"/>
        <w:rPr>
          <w:i/>
          <w:lang w:val="de-DE"/>
        </w:rPr>
      </w:pPr>
      <w:r w:rsidRPr="00FC216C">
        <w:rPr>
          <w:i/>
          <w:lang w:val="de-DE"/>
        </w:rPr>
        <w:t xml:space="preserve">Wetzel et al. (2008) vergleicht 2 selbst entwickelte Spiele und The Eye </w:t>
      </w:r>
      <w:proofErr w:type="spellStart"/>
      <w:r w:rsidRPr="00FC216C">
        <w:rPr>
          <w:i/>
          <w:lang w:val="de-DE"/>
        </w:rPr>
        <w:t>of</w:t>
      </w:r>
      <w:proofErr w:type="spellEnd"/>
      <w:r w:rsidRPr="00FC216C">
        <w:rPr>
          <w:i/>
          <w:lang w:val="de-DE"/>
        </w:rPr>
        <w:t xml:space="preserve"> </w:t>
      </w:r>
      <w:proofErr w:type="spellStart"/>
      <w:r w:rsidRPr="00FC216C">
        <w:rPr>
          <w:i/>
          <w:lang w:val="de-DE"/>
        </w:rPr>
        <w:t>Judgement</w:t>
      </w:r>
      <w:proofErr w:type="spellEnd"/>
      <w:r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Lundgren &amp; </w:t>
      </w:r>
      <w:proofErr w:type="spellStart"/>
      <w:r>
        <w:rPr>
          <w:i/>
        </w:rPr>
        <w:t>Björk</w:t>
      </w:r>
      <w:proofErr w:type="spellEnd"/>
      <w:r>
        <w:rPr>
          <w:i/>
        </w:rPr>
        <w:t xml:space="preserve"> (2003))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1" w:name="_Toc469567521"/>
      <w:r w:rsidRPr="000F6C54">
        <w:rPr>
          <w:lang w:val="en-US"/>
        </w:rPr>
        <w:t>Outlook</w:t>
      </w:r>
      <w:bookmarkEnd w:id="11"/>
    </w:p>
    <w:p w:rsidR="00C4539F" w:rsidRDefault="00C4539F" w:rsidP="00C4539F">
      <w:pPr>
        <w:pStyle w:val="berschrift4"/>
        <w:rPr>
          <w:lang w:val="en-US"/>
        </w:rPr>
      </w:pPr>
      <w:bookmarkStart w:id="12" w:name="_Toc469567522"/>
      <w:r w:rsidRPr="000F6C54">
        <w:rPr>
          <w:lang w:val="en-US"/>
        </w:rPr>
        <w:t>Possibilities</w:t>
      </w:r>
      <w:bookmarkEnd w:id="12"/>
    </w:p>
    <w:p w:rsidR="00F35A24" w:rsidRDefault="00F35A24" w:rsidP="00F35A24">
      <w:pPr>
        <w:pStyle w:val="StandardErstzeileneinzug"/>
      </w:pPr>
      <w:r>
        <w:t xml:space="preserve">Dunleavy (2014): </w:t>
      </w:r>
      <w:r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Pr="00F35A24">
        <w:t>Klopfer</w:t>
      </w:r>
      <w:proofErr w:type="spellEnd"/>
      <w:r w:rsidRPr="00F35A24">
        <w:t xml:space="preserve"> and Squire, 2008; Squire, 2010; Perry et al., 2008; Squire, Jan, Matthews, </w:t>
      </w:r>
      <w:proofErr w:type="spellStart"/>
      <w:r w:rsidRPr="00F35A24">
        <w:t>Wagler</w:t>
      </w:r>
      <w:proofErr w:type="spellEnd"/>
      <w:r w:rsidRPr="00F35A24">
        <w:t xml:space="preserve">, Martin, </w:t>
      </w:r>
      <w:proofErr w:type="spellStart"/>
      <w:r w:rsidRPr="00F35A24">
        <w:t>Devane</w:t>
      </w:r>
      <w:proofErr w:type="spellEnd"/>
      <w:r w:rsidRPr="00F35A24">
        <w:t xml:space="preserve"> and Holden, 2007).</w:t>
      </w:r>
      <w:r>
        <w:t>”</w:t>
      </w:r>
    </w:p>
    <w:p w:rsidR="00EB09FA" w:rsidRDefault="00EB09FA" w:rsidP="00F35A24">
      <w:pPr>
        <w:pStyle w:val="StandardErstzeileneinzug"/>
      </w:pPr>
      <w:proofErr w:type="spellStart"/>
      <w:r w:rsidRPr="00EB09FA">
        <w:t>Robinett</w:t>
      </w:r>
      <w:proofErr w:type="spellEnd"/>
      <w:r w:rsidRPr="00EB09FA">
        <w:t xml:space="preserve"> (1992)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B24973" w:rsidRDefault="00B24973" w:rsidP="00F35A24">
      <w:pPr>
        <w:pStyle w:val="StandardErstzeileneinzug"/>
      </w:pPr>
      <w:r>
        <w:t>Dunleavy et al. (2009:”</w:t>
      </w:r>
      <w:r w:rsidRPr="00B24973">
        <w:rPr>
          <w:b/>
          <w:bCs/>
        </w:rPr>
        <w:t>Unique affordances of AR</w:t>
      </w:r>
      <w:r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B24973" w:rsidP="00F35A24">
      <w:pPr>
        <w:pStyle w:val="StandardErstzeileneinzug"/>
      </w:pPr>
      <w:r>
        <w:t xml:space="preserve">Dunleavy et al. (2009):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AB4412" w:rsidP="00F35A24">
      <w:pPr>
        <w:pStyle w:val="StandardErstzeileneinzug"/>
        <w:rPr>
          <w:b/>
          <w:bCs/>
        </w:rPr>
      </w:pPr>
      <w:r w:rsidRPr="00E05709">
        <w:lastRenderedPageBreak/>
        <w:t xml:space="preserve">Schmitz et al. </w:t>
      </w:r>
      <w:r w:rsidRPr="00817337">
        <w:t xml:space="preserve">(2012) -&gt; Patterns und </w:t>
      </w:r>
      <w:proofErr w:type="spellStart"/>
      <w:r w:rsidRPr="00817337">
        <w:t>Einordnung</w:t>
      </w:r>
      <w:proofErr w:type="spellEnd"/>
      <w:r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F57265" w:rsidP="00F35A24">
      <w:pPr>
        <w:pStyle w:val="StandardErstzeileneinzug"/>
      </w:pPr>
      <w:r w:rsidRPr="00F57265">
        <w:rPr>
          <w:bCs/>
          <w:lang w:val="de-DE"/>
        </w:rPr>
        <w:t xml:space="preserve">FitzGerald et al. </w:t>
      </w:r>
      <w:r w:rsidRPr="00540616">
        <w:rPr>
          <w:bCs/>
        </w:rPr>
        <w:t>(</w:t>
      </w:r>
      <w:proofErr w:type="spellStart"/>
      <w:r w:rsidRPr="00540616">
        <w:rPr>
          <w:bCs/>
        </w:rPr>
        <w:t>über</w:t>
      </w:r>
      <w:proofErr w:type="spellEnd"/>
      <w:r w:rsidRPr="00540616">
        <w:rPr>
          <w:bCs/>
        </w:rPr>
        <w:t xml:space="preserve"> Lucking &amp; Stanton Fraser)</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bookmarkStart w:id="13" w:name="_GoBack"/>
      <w:bookmarkEnd w:id="13"/>
    </w:p>
    <w:p w:rsidR="00C4539F" w:rsidRDefault="00C4539F" w:rsidP="00C4539F">
      <w:pPr>
        <w:pStyle w:val="berschrift4"/>
        <w:rPr>
          <w:lang w:val="en-US"/>
        </w:rPr>
      </w:pPr>
      <w:bookmarkStart w:id="14" w:name="_Toc469567523"/>
      <w:r w:rsidRPr="000F6C54">
        <w:rPr>
          <w:lang w:val="en-US"/>
        </w:rPr>
        <w:t>Limitations</w:t>
      </w:r>
      <w:bookmarkEnd w:id="14"/>
    </w:p>
    <w:p w:rsidR="007C21E0" w:rsidRDefault="007C21E0" w:rsidP="007C21E0">
      <w:pPr>
        <w:pStyle w:val="StandardErstzeileneinzug"/>
        <w:tabs>
          <w:tab w:val="left" w:pos="5640"/>
        </w:tabs>
      </w:pPr>
      <w:r>
        <w:t xml:space="preserve">Azuma (2001): </w:t>
      </w:r>
      <w:r w:rsidRPr="007C21E0">
        <w:t>“</w:t>
      </w:r>
      <w:r w:rsidRPr="007C21E0">
        <w:rPr>
          <w:b/>
          <w:bCs/>
        </w:rPr>
        <w:t>Problem areas in AR displays.</w:t>
      </w:r>
      <w:r w:rsidRPr="007C21E0">
        <w:t xml:space="preserve"> See-through displays don’t have sufficient brightness, resolution, field of view, and contrast to seamlessly blend a wide range of real and virtual imagery. </w:t>
      </w:r>
      <w:r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282579" w:rsidP="00282579">
      <w:pPr>
        <w:pStyle w:val="StandardErstzeileneinzug"/>
      </w:pPr>
      <w:proofErr w:type="spellStart"/>
      <w:r w:rsidRPr="00B24973">
        <w:t>Kruijff</w:t>
      </w:r>
      <w:proofErr w:type="spellEnd"/>
      <w:r w:rsidRPr="00B24973">
        <w:t xml:space="preserve"> et al. </w:t>
      </w:r>
      <w:r w:rsidRPr="00EB09FA">
        <w:t>(2010)</w:t>
      </w:r>
      <w:r w:rsidR="00EB09FA" w:rsidRPr="00EB09FA">
        <w:t xml:space="preserve"> (“created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282579" w:rsidP="00282579">
      <w:pPr>
        <w:pStyle w:val="StandardErstzeileneinzug"/>
        <w:rPr>
          <w:lang w:val="es-ES_tradnl"/>
        </w:rPr>
      </w:pPr>
      <w:r w:rsidRPr="00FD5995">
        <w:rPr>
          <w:lang w:val="es-ES_tradnl"/>
        </w:rPr>
        <w:t>Antonacci et al (2015)</w:t>
      </w:r>
    </w:p>
    <w:p w:rsidR="00C732DA" w:rsidRPr="00B24973" w:rsidRDefault="00C732DA" w:rsidP="000B5FF7">
      <w:pPr>
        <w:pStyle w:val="StandardErstzeileneinzug"/>
        <w:tabs>
          <w:tab w:val="left" w:pos="5640"/>
        </w:tabs>
      </w:pPr>
      <w:r w:rsidRPr="00B24973">
        <w:rPr>
          <w:lang w:val="es-ES_tradnl"/>
        </w:rPr>
        <w:t xml:space="preserve">Furmanski et al. </w:t>
      </w:r>
      <w:r w:rsidRPr="00B24973">
        <w:t xml:space="preserve">(2002) (Interfaces </w:t>
      </w:r>
      <w:proofErr w:type="spellStart"/>
      <w:r w:rsidRPr="00B24973">
        <w:t>überdenken</w:t>
      </w:r>
      <w:proofErr w:type="spellEnd"/>
      <w:r w:rsidRPr="00B24973">
        <w:t>)</w:t>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B24973" w:rsidP="000B5FF7">
      <w:pPr>
        <w:pStyle w:val="StandardErstzeileneinzug"/>
        <w:tabs>
          <w:tab w:val="left" w:pos="5640"/>
        </w:tabs>
      </w:pPr>
      <w:r>
        <w:t xml:space="preserve">Dunleavy et al. (2009): </w:t>
      </w:r>
      <w:r w:rsidRPr="00B24973">
        <w:t>“However, while the AR simulation provided potentially transformative added value, it simultaneously presented unique technological, managerial, and cognitive challenges to teaching and learning.”</w:t>
      </w:r>
    </w:p>
    <w:p w:rsidR="00B24973" w:rsidRDefault="00B24973" w:rsidP="000B5FF7">
      <w:pPr>
        <w:pStyle w:val="StandardErstzeileneinzug"/>
        <w:tabs>
          <w:tab w:val="left" w:pos="5640"/>
        </w:tabs>
      </w:pPr>
      <w:r>
        <w:t xml:space="preserve">Dunleavy et al. (2009): </w:t>
      </w:r>
      <w:r w:rsidRPr="00B24973">
        <w:t xml:space="preserve">“As students navigated through the game space, they were frequently observed ignoring the physical space around them to focus exclusively on the data being </w:t>
      </w:r>
      <w:r w:rsidRPr="00B24973">
        <w:lastRenderedPageBreak/>
        <w:t xml:space="preserve">presented via the handheld. The research team recorded multiple examples of students being </w:t>
      </w:r>
      <w:r w:rsidRPr="00B24973">
        <w:rPr>
          <w:b/>
          <w:bCs/>
        </w:rPr>
        <w:t>so engaged in the game environment that they lost track of their real environment.</w:t>
      </w:r>
      <w:r w:rsidRPr="00B24973">
        <w:t xml:space="preserve"> Beyond the obvious safety concerns related to students ignoring their environment while walking in an urban setting, </w:t>
      </w:r>
      <w:r w:rsidRPr="00B24973">
        <w:rPr>
          <w:b/>
        </w:rPr>
        <w:t>this engrossment could actually be counterproductive</w:t>
      </w:r>
      <w:r w:rsidRPr="00B24973">
        <w:t xml:space="preserve"> if the AR simulation is designed to incorporate the physical space into the learning experience.</w:t>
      </w:r>
    </w:p>
    <w:p w:rsidR="00D838DE" w:rsidRPr="00D838DE" w:rsidRDefault="00D838DE" w:rsidP="00D838DE">
      <w:pPr>
        <w:pStyle w:val="StandardErstzeileneinzug"/>
        <w:numPr>
          <w:ilvl w:val="0"/>
          <w:numId w:val="3"/>
        </w:numPr>
        <w:tabs>
          <w:tab w:val="left" w:pos="5640"/>
        </w:tabs>
      </w:pPr>
      <w:proofErr w:type="spellStart"/>
      <w:r w:rsidRPr="0045779C">
        <w:t>Ternier</w:t>
      </w:r>
      <w:proofErr w:type="spellEnd"/>
      <w:r w:rsidRPr="0045779C">
        <w:t xml:space="preserve">, De </w:t>
      </w:r>
      <w:proofErr w:type="spellStart"/>
      <w:r w:rsidRPr="0045779C">
        <w:t>Vries</w:t>
      </w:r>
      <w:proofErr w:type="spellEnd"/>
      <w:r w:rsidRPr="0045779C">
        <w:t xml:space="preserve"> etc. </w:t>
      </w:r>
      <w:r w:rsidRPr="00D838DE">
        <w:t xml:space="preserve">(2012) </w:t>
      </w:r>
      <w:proofErr w:type="spellStart"/>
      <w:r w:rsidRPr="00D838DE">
        <w:t>sehr</w:t>
      </w:r>
      <w:proofErr w:type="spellEnd"/>
      <w:r w:rsidRPr="00D838DE">
        <w:t xml:space="preserve"> </w:t>
      </w:r>
      <w:proofErr w:type="spellStart"/>
      <w:r w:rsidRPr="00D838DE">
        <w:t>ähnlich</w:t>
      </w:r>
      <w:proofErr w:type="spellEnd"/>
      <w:r w:rsidRPr="00D838DE">
        <w:t xml:space="preserve"> (</w:t>
      </w:r>
      <w:proofErr w:type="spellStart"/>
      <w:r w:rsidRPr="00D838DE">
        <w:t>über</w:t>
      </w:r>
      <w:proofErr w:type="spellEnd"/>
      <w:r w:rsidRPr="00D838DE">
        <w:t xml:space="preserve"> </w:t>
      </w:r>
      <w:proofErr w:type="spellStart"/>
      <w:r w:rsidRPr="00D838DE">
        <w:t>andere</w:t>
      </w:r>
      <w:proofErr w:type="spellEnd"/>
      <w:r w:rsidRPr="00D838DE">
        <w:t xml:space="preserve"> </w:t>
      </w:r>
      <w:proofErr w:type="spellStart"/>
      <w:r w:rsidRPr="00D838DE">
        <w:t>Quelle</w:t>
      </w:r>
      <w:proofErr w:type="spellEnd"/>
      <w:r w:rsidRPr="00D838DE">
        <w:t xml:space="preserve">): </w:t>
      </w:r>
      <w:r>
        <w:t xml:space="preserve">“The </w:t>
      </w:r>
      <w:proofErr w:type="spellStart"/>
      <w:r>
        <w:t>Locatory</w:t>
      </w:r>
      <w:proofErr w:type="spellEnd"/>
      <w:r>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B24973" w:rsidP="000B5FF7">
      <w:pPr>
        <w:pStyle w:val="StandardErstzeileneinzug"/>
        <w:tabs>
          <w:tab w:val="left" w:pos="5640"/>
        </w:tabs>
      </w:pPr>
      <w:proofErr w:type="spellStart"/>
      <w:r w:rsidRPr="00B24973">
        <w:rPr>
          <w:lang w:val="de-DE"/>
        </w:rPr>
        <w:t>Dunleavy</w:t>
      </w:r>
      <w:proofErr w:type="spellEnd"/>
      <w:r w:rsidRPr="00B24973">
        <w:rPr>
          <w:lang w:val="de-DE"/>
        </w:rPr>
        <w:t xml:space="preserve"> et al. </w:t>
      </w:r>
      <w:r w:rsidRPr="00F57265">
        <w:t xml:space="preserve">(2009) </w:t>
      </w:r>
      <w:proofErr w:type="spellStart"/>
      <w:r w:rsidRPr="00F57265">
        <w:t>erwähnt</w:t>
      </w:r>
      <w:proofErr w:type="spellEnd"/>
      <w:r w:rsidRPr="00F57265">
        <w:t xml:space="preserve"> Wetter </w:t>
      </w:r>
      <w:proofErr w:type="spellStart"/>
      <w:r w:rsidRPr="00F57265">
        <w:t>als</w:t>
      </w:r>
      <w:proofErr w:type="spellEnd"/>
      <w:r w:rsidRPr="00F57265">
        <w:t xml:space="preserve"> </w:t>
      </w:r>
      <w:proofErr w:type="spellStart"/>
      <w:r w:rsidRPr="00F57265">
        <w:t>Störungsfaktor</w:t>
      </w:r>
      <w:proofErr w:type="spellEnd"/>
      <w:r w:rsidR="00F57265" w:rsidRPr="00F57265">
        <w:t xml:space="preserve"> (FitzGerald et al.: “Top-of-the-range geolocation systems are (...) very expensive: cheaper tools are only accurate to several </w:t>
      </w:r>
      <w:proofErr w:type="spellStart"/>
      <w:r w:rsidR="00F57265" w:rsidRPr="00F57265">
        <w:t>metres</w:t>
      </w:r>
      <w:proofErr w:type="spellEnd"/>
      <w:r w:rsidR="00F57265" w:rsidRPr="00F57265">
        <w:t xml:space="preserve">. 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9C0952" w:rsidP="000B5FF7">
      <w:pPr>
        <w:pStyle w:val="StandardErstzeileneinzug"/>
        <w:tabs>
          <w:tab w:val="left" w:pos="5640"/>
        </w:tabs>
        <w:rPr>
          <w:lang w:val="de-DE"/>
        </w:rPr>
      </w:pPr>
      <w:r w:rsidRPr="009C0952">
        <w:t xml:space="preserve">FitzGerald et al.: </w:t>
      </w:r>
      <w:proofErr w:type="spellStart"/>
      <w:r w:rsidRPr="009C0952">
        <w:t>Einschränkungen</w:t>
      </w:r>
      <w:proofErr w:type="spellEnd"/>
      <w:r w:rsidRPr="009C0952">
        <w:t xml:space="preserve"> von GPS: “</w:t>
      </w:r>
      <w:r w:rsidRPr="009C0952">
        <w:rPr>
          <w:b/>
          <w:bCs/>
        </w:rPr>
        <w:t>GPS requires line of sight</w:t>
      </w:r>
      <w:r w:rsidRPr="009C0952">
        <w:t xml:space="preserve"> for satellite communication and so cannot be used indoors with any great accuracy (</w:t>
      </w:r>
      <w:r>
        <w:t>…</w:t>
      </w:r>
      <w:r w:rsidRPr="009C0952">
        <w:t>)</w:t>
      </w:r>
      <w:proofErr w:type="gramStart"/>
      <w:r>
        <w:t>.</w:t>
      </w:r>
      <w:r w:rsidRPr="009C0952">
        <w:t>“</w:t>
      </w:r>
      <w:proofErr w:type="gramEnd"/>
      <w:r w:rsidRPr="009C0952">
        <w:t xml:space="preserve"> </w:t>
      </w:r>
      <w:proofErr w:type="spellStart"/>
      <w:r w:rsidR="000D35EE" w:rsidRPr="009C0952">
        <w:rPr>
          <w:lang w:val="de-DE"/>
        </w:rPr>
        <w:t>Ternier</w:t>
      </w:r>
      <w:proofErr w:type="spellEnd"/>
      <w:r w:rsidRPr="009C0952">
        <w:rPr>
          <w:lang w:val="de-DE"/>
        </w:rPr>
        <w:t xml:space="preserve">, De Vries et al. / </w:t>
      </w:r>
      <w:proofErr w:type="spellStart"/>
      <w:r w:rsidRPr="009C0952">
        <w:rPr>
          <w:lang w:val="de-DE"/>
        </w:rPr>
        <w:t>Ternier</w:t>
      </w:r>
      <w:proofErr w:type="spellEnd"/>
      <w:r w:rsidRPr="009C0952">
        <w:rPr>
          <w:lang w:val="de-DE"/>
        </w:rPr>
        <w:t xml:space="preserve"> et al. ähnlich </w:t>
      </w:r>
      <w:r>
        <w:rPr>
          <w:lang w:val="de-DE"/>
        </w:rPr>
        <w:t>(</w:t>
      </w:r>
      <w:r w:rsidR="008D4F8D">
        <w:rPr>
          <w:lang w:val="de-DE"/>
        </w:rPr>
        <w:t>Auch draußen d</w:t>
      </w:r>
      <w:r>
        <w:rPr>
          <w:lang w:val="de-DE"/>
        </w:rPr>
        <w:t xml:space="preserve">urch Infrastruktur beschränkt) </w:t>
      </w:r>
      <w:r w:rsidRPr="009C0952">
        <w:rPr>
          <w:lang w:val="de-DE"/>
        </w:rPr>
        <w:t>in Florenz.</w:t>
      </w:r>
    </w:p>
    <w:p w:rsidR="00FC216C" w:rsidRDefault="00676B3D" w:rsidP="000B5FF7">
      <w:pPr>
        <w:pStyle w:val="StandardErstzeileneinzug"/>
        <w:tabs>
          <w:tab w:val="left" w:pos="5640"/>
        </w:tabs>
      </w:pPr>
      <w:r w:rsidRPr="00676B3D">
        <w:t>Dunleavy et al. (2009):</w:t>
      </w:r>
      <w:r w:rsidRPr="00676B3D">
        <w:rPr>
          <w:rFonts w:ascii="Arial" w:hAnsi="Arial" w:cs="Arial"/>
          <w:color w:val="000000"/>
          <w:szCs w:val="22"/>
        </w:rPr>
        <w:t xml:space="preserve"> </w:t>
      </w:r>
      <w:r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Pr="00676B3D">
        <w:rPr>
          <w:b/>
          <w:bCs/>
        </w:rPr>
        <w:t>novelty engagement will fade as the students become accustomed</w:t>
      </w:r>
      <w:r w:rsidRPr="00676B3D">
        <w:t xml:space="preserve"> to this method of learning.”</w:t>
      </w:r>
    </w:p>
    <w:p w:rsidR="00F57265" w:rsidRPr="00F57265" w:rsidRDefault="00F57265" w:rsidP="000B5FF7">
      <w:pPr>
        <w:pStyle w:val="StandardErstzeileneinzug"/>
        <w:tabs>
          <w:tab w:val="left" w:pos="5640"/>
        </w:tabs>
      </w:pPr>
      <w:r>
        <w:t xml:space="preserve">FitzGerald et al.: </w:t>
      </w:r>
      <w:r w:rsidRPr="00F57265">
        <w:t xml:space="preserve">“One of the most sensitive issues relates to </w:t>
      </w:r>
      <w:r w:rsidRPr="00F57265">
        <w:rPr>
          <w:b/>
          <w:bCs/>
        </w:rPr>
        <w:t>knowledge of a user’s location</w:t>
      </w:r>
      <w:r w:rsidRPr="00F57265">
        <w:t xml:space="preserve">. This is a basic requirement of </w:t>
      </w:r>
      <w:proofErr w:type="spellStart"/>
      <w:r w:rsidRPr="00F57265">
        <w:t>geolocated</w:t>
      </w:r>
      <w:proofErr w:type="spellEnd"/>
      <w:r w:rsidRPr="00F57265">
        <w:t xml:space="preserve"> AR, but may be off-putting for users who are not aware exactly what data is being collected or who are wary of being tracked or targeted by companies which provide </w:t>
      </w:r>
      <w:proofErr w:type="spellStart"/>
      <w:r w:rsidRPr="00F57265">
        <w:rPr>
          <w:b/>
          <w:bCs/>
        </w:rPr>
        <w:t>personalised</w:t>
      </w:r>
      <w:proofErr w:type="spellEnd"/>
      <w:r w:rsidRPr="00F57265">
        <w:rPr>
          <w:b/>
          <w:bCs/>
        </w:rPr>
        <w:t xml:space="preserve"> marketing</w:t>
      </w:r>
      <w:r w:rsidRPr="00F57265">
        <w:t xml:space="preserve"> (Hamilton, 2012).”</w:t>
      </w:r>
    </w:p>
    <w:p w:rsidR="00676B3D" w:rsidRPr="00FC216C" w:rsidRDefault="00FC216C" w:rsidP="00FC216C">
      <w:pPr>
        <w:pStyle w:val="StandardErstzeileneinzug"/>
        <w:numPr>
          <w:ilvl w:val="0"/>
          <w:numId w:val="3"/>
        </w:numPr>
        <w:tabs>
          <w:tab w:val="left" w:pos="5640"/>
        </w:tabs>
      </w:pPr>
      <w:r>
        <w:t xml:space="preserve">Wetzel et al. (2008) </w:t>
      </w:r>
      <w:proofErr w:type="spellStart"/>
      <w:r>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t xml:space="preserve">: </w:t>
      </w:r>
      <w:r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Pr="00FC216C">
        <w:rPr>
          <w:b/>
          <w:bCs/>
        </w:rPr>
        <w:t>the experience of the new and novel technologies</w:t>
      </w:r>
      <w:r w:rsidRPr="00FC216C">
        <w:t>.”</w:t>
      </w:r>
    </w:p>
    <w:p w:rsidR="00AD5217" w:rsidRPr="00AD5217" w:rsidRDefault="005A598C" w:rsidP="00AD5217">
      <w:pPr>
        <w:pStyle w:val="StandardErstzeileneinzug"/>
      </w:pPr>
      <w:proofErr w:type="spellStart"/>
      <w:r>
        <w:t>Julier</w:t>
      </w:r>
      <w:proofErr w:type="spellEnd"/>
      <w:r>
        <w:t xml:space="preserve"> et al. (2000): </w:t>
      </w:r>
      <w:r w:rsidRPr="005A598C">
        <w:t>“If a graphics-based AR system is to be effective, care must be taken to ensure that its display is not cluttered with too much information.”</w:t>
      </w:r>
      <w:r>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lastRenderedPageBreak/>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Default="00C4539F" w:rsidP="00C4539F">
      <w:pPr>
        <w:pStyle w:val="berschrift3"/>
        <w:rPr>
          <w:lang w:val="en-US"/>
        </w:rPr>
      </w:pPr>
      <w:bookmarkStart w:id="16" w:name="_Toc469567525"/>
      <w:r w:rsidRPr="000F6C54">
        <w:rPr>
          <w:lang w:val="en-US"/>
        </w:rPr>
        <w:t>Overview – sensors and actuators</w:t>
      </w:r>
      <w:bookmarkEnd w:id="16"/>
    </w:p>
    <w:p w:rsidR="00B62C35" w:rsidRPr="0045779C" w:rsidRDefault="00B62C35" w:rsidP="00E05709">
      <w:pPr>
        <w:pStyle w:val="StandardErstzeileneinzug"/>
        <w:rPr>
          <w:lang w:val="de-DE"/>
        </w:rPr>
      </w:pPr>
      <w:r w:rsidRPr="0045779C">
        <w:rPr>
          <w:lang w:val="de-DE"/>
        </w:rPr>
        <w:t>EMG (z.B. bei Rahman et al.)</w:t>
      </w:r>
    </w:p>
    <w:p w:rsidR="009658FF" w:rsidRDefault="009658FF" w:rsidP="00E05709">
      <w:pPr>
        <w:pStyle w:val="StandardErstzeileneinzug"/>
      </w:pPr>
      <w:r w:rsidRPr="009658FF">
        <w:t>Schmitz et al. (2012):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AE6563" w:rsidP="00E05709">
      <w:pPr>
        <w:pStyle w:val="StandardErstzeileneinzug"/>
      </w:pPr>
      <w:r>
        <w:t>Wetzel et al. (2013):</w:t>
      </w:r>
      <w:r w:rsidRPr="00AE6563">
        <w:rPr>
          <w:rFonts w:ascii="Arial" w:hAnsi="Arial" w:cs="Arial"/>
          <w:color w:val="000000"/>
          <w:szCs w:val="22"/>
        </w:rPr>
        <w:t xml:space="preserve"> </w:t>
      </w:r>
      <w:r w:rsidRPr="00AE6563">
        <w:t>“</w:t>
      </w:r>
      <w:proofErr w:type="spellStart"/>
      <w:r w:rsidRPr="00AE6563">
        <w:t>Locationing</w:t>
      </w:r>
      <w:proofErr w:type="spellEnd"/>
      <w:r w:rsidRPr="00AE6563">
        <w:t xml:space="preserve"> technology utilizes a wide </w:t>
      </w:r>
      <w:r w:rsidRPr="00AE6563">
        <w:rPr>
          <w:b/>
          <w:bCs/>
        </w:rPr>
        <w:t>variety of sensors</w:t>
      </w:r>
      <w:r w:rsidRPr="00AE6563">
        <w:t xml:space="preserve"> like GSM cells, GPS, fiducial markers, natural feature tracking, NFC/RFID as well as </w:t>
      </w:r>
      <w:proofErr w:type="spellStart"/>
      <w:r w:rsidRPr="00AE6563">
        <w:t>WiFi</w:t>
      </w:r>
      <w:proofErr w:type="spellEnd"/>
      <w:r w:rsidRPr="00AE6563">
        <w:t xml:space="preserve"> and Bluetooth-based proximity sensing”</w:t>
      </w:r>
    </w:p>
    <w:p w:rsidR="00F57265" w:rsidRPr="00F57265" w:rsidRDefault="00F57265" w:rsidP="00E05709">
      <w:pPr>
        <w:pStyle w:val="StandardErstzeileneinzug"/>
      </w:pPr>
      <w:r>
        <w:t xml:space="preserve">FitzGerald et al.: </w:t>
      </w:r>
      <w:r w:rsidRPr="00F57265">
        <w:t>“</w:t>
      </w:r>
      <w:r w:rsidRPr="00F57265">
        <w:rPr>
          <w:b/>
          <w:bCs/>
        </w:rPr>
        <w:t>Recent advancements in GPS and networks</w:t>
      </w:r>
      <w:r w:rsidRPr="00F57265">
        <w:t xml:space="preserve"> have enabled location accuracy to within 5-10 </w:t>
      </w:r>
      <w:proofErr w:type="spellStart"/>
      <w:r w:rsidRPr="00F57265">
        <w:t>metres</w:t>
      </w:r>
      <w:proofErr w:type="spellEnd"/>
      <w:r w:rsidRPr="00F57265">
        <w:t xml:space="preserve"> for single-point receivers (Ordnance Survey, 2012); carrier positioning accuracy (or ‘survey grade GPS’) improves this to </w:t>
      </w:r>
      <w:r w:rsidRPr="00F57265">
        <w:rPr>
          <w:b/>
          <w:bCs/>
        </w:rPr>
        <w:t>less than 1cm</w:t>
      </w:r>
      <w:r w:rsidRPr="00F57265">
        <w:t>.”</w:t>
      </w:r>
    </w:p>
    <w:p w:rsidR="00E05709" w:rsidRDefault="00E05709" w:rsidP="00E05709">
      <w:pPr>
        <w:pStyle w:val="StandardErstzeileneinzug"/>
        <w:rPr>
          <w:noProof/>
        </w:rPr>
      </w:pPr>
      <w:r>
        <w:t>Sharma et al. (2016)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lastRenderedPageBreak/>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7" w:name="_Toc469567526"/>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17"/>
      <w:proofErr w:type="spellEnd"/>
    </w:p>
    <w:p w:rsidR="009902FC" w:rsidRDefault="009902FC" w:rsidP="005A598C">
      <w:pPr>
        <w:pStyle w:val="StandardErstzeileneinzug"/>
      </w:pPr>
      <w:r w:rsidRPr="009902FC">
        <w:t>Johnson &amp; Wiles (2003): “With less cognition required for remembering or finding input commands, the user is better able to achieve concentration and engagement, and thereby flow, when completing the task.”</w:t>
      </w:r>
    </w:p>
    <w:p w:rsidR="003562C2" w:rsidRDefault="003562C2" w:rsidP="003562C2">
      <w:pPr>
        <w:pStyle w:val="StandardErstzeileneinzug"/>
      </w:pPr>
      <w:r w:rsidRPr="003562C2">
        <w:t xml:space="preserve">Lundgren &amp; </w:t>
      </w:r>
      <w:proofErr w:type="spellStart"/>
      <w:r w:rsidRPr="003562C2">
        <w:t>Björk</w:t>
      </w:r>
      <w:proofErr w:type="spellEnd"/>
      <w:r w:rsidRPr="003562C2">
        <w:t xml:space="preserve"> (2003)</w:t>
      </w:r>
      <w:r>
        <w:t xml:space="preserve"> </w:t>
      </w:r>
      <w:proofErr w:type="spellStart"/>
      <w:r>
        <w:t>ähnlich</w:t>
      </w:r>
      <w:proofErr w:type="spellEnd"/>
      <w:r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2B2D27" w:rsidP="002B2D27">
      <w:pPr>
        <w:pStyle w:val="StandardErstzeileneinzug"/>
        <w:ind w:firstLine="0"/>
      </w:pPr>
      <w:r>
        <w:t xml:space="preserve">Lundgren &amp; </w:t>
      </w:r>
      <w:proofErr w:type="spellStart"/>
      <w:r>
        <w:t>Björk</w:t>
      </w:r>
      <w:proofErr w:type="spellEnd"/>
      <w:r>
        <w:t xml:space="preserve"> (2003): “</w:t>
      </w:r>
      <w:r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t>”</w:t>
      </w:r>
    </w:p>
    <w:p w:rsidR="005A598C" w:rsidRDefault="005A598C" w:rsidP="005A598C">
      <w:pPr>
        <w:pStyle w:val="StandardErstzeileneinzug"/>
      </w:pPr>
      <w:r>
        <w:t xml:space="preserve">Johnson et al. (2011) (Horizon Report): </w:t>
      </w:r>
      <w:r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4D4AB4" w:rsidP="005A598C">
      <w:pPr>
        <w:pStyle w:val="StandardErstzeileneinzug"/>
      </w:pPr>
      <w:r>
        <w:t xml:space="preserve">Zhang (2012): </w:t>
      </w:r>
      <w:r w:rsidRPr="004D4AB4">
        <w:t>“Kinect was launched on 4 November 2010. A month later there were already nine pages containing brief descriptions of approximately 90 projects, and the number of projects posted on KinectHacks.net has grown steadily.”</w:t>
      </w:r>
    </w:p>
    <w:p w:rsidR="00427593" w:rsidRDefault="00427593" w:rsidP="005A598C">
      <w:pPr>
        <w:pStyle w:val="StandardErstzeileneinzug"/>
      </w:pPr>
      <w:r>
        <w:t xml:space="preserve">Zhang (2012): </w:t>
      </w:r>
      <w:r w:rsidRPr="00427593">
        <w:t xml:space="preserve">“The Kinect sensor incorporates several advanced sensing hardware. Most notably, it contains a depth sensor, a color camera, and </w:t>
      </w:r>
      <w:proofErr w:type="gramStart"/>
      <w:r w:rsidRPr="00427593">
        <w:t>a four-microphone array that provide</w:t>
      </w:r>
      <w:proofErr w:type="gramEnd"/>
      <w:r w:rsidRPr="00427593">
        <w:t xml:space="preserve"> full-body 3D motion capture, facial recognition, and voice recognition capabil</w:t>
      </w:r>
      <w:r>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Default="000E6263" w:rsidP="005A598C">
      <w:pPr>
        <w:pStyle w:val="StandardErstzeileneinzug"/>
      </w:pPr>
      <w:r>
        <w:t>Bauer et al. (2011): Kinect in Radiation Therapy</w:t>
      </w:r>
    </w:p>
    <w:p w:rsidR="000E6263" w:rsidRDefault="000E6263" w:rsidP="005A598C">
      <w:pPr>
        <w:pStyle w:val="StandardErstzeileneinzug"/>
        <w:rPr>
          <w:lang w:val="de-DE"/>
        </w:rPr>
      </w:pPr>
      <w:r w:rsidRPr="000E6263">
        <w:rPr>
          <w:lang w:val="es-ES_tradnl"/>
        </w:rPr>
        <w:t xml:space="preserve">Xu et al. </w:t>
      </w:r>
      <w:r w:rsidRPr="000E6263">
        <w:rPr>
          <w:lang w:val="de-DE"/>
        </w:rPr>
        <w:t xml:space="preserve">(2009): EMG + 3D </w:t>
      </w:r>
      <w:proofErr w:type="spellStart"/>
      <w:r w:rsidRPr="000E6263">
        <w:rPr>
          <w:lang w:val="de-DE"/>
        </w:rPr>
        <w:t>Accelerometer</w:t>
      </w:r>
      <w:proofErr w:type="spellEnd"/>
      <w:r w:rsidRPr="000E6263">
        <w:rPr>
          <w:lang w:val="de-DE"/>
        </w:rPr>
        <w:t xml:space="preserve"> in virtuellem </w:t>
      </w:r>
      <w:proofErr w:type="spellStart"/>
      <w:r w:rsidRPr="000E6263">
        <w:rPr>
          <w:lang w:val="de-DE"/>
        </w:rPr>
        <w:t>Rubik</w:t>
      </w:r>
      <w:r>
        <w:rPr>
          <w:lang w:val="de-DE"/>
        </w:rPr>
        <w:t>’s</w:t>
      </w:r>
      <w:proofErr w:type="spellEnd"/>
      <w:r>
        <w:rPr>
          <w:lang w:val="de-DE"/>
        </w:rPr>
        <w:t xml:space="preserve"> Cube</w:t>
      </w:r>
    </w:p>
    <w:p w:rsidR="002B2D27" w:rsidRPr="002B2D27" w:rsidRDefault="002B2D27" w:rsidP="005A598C">
      <w:pPr>
        <w:pStyle w:val="StandardErstzeileneinzug"/>
      </w:pPr>
      <w:r w:rsidRPr="002B2D27">
        <w:t xml:space="preserve">Lundgren &amp; </w:t>
      </w:r>
      <w:proofErr w:type="spellStart"/>
      <w:r w:rsidRPr="002B2D27">
        <w:t>Björk</w:t>
      </w:r>
      <w:proofErr w:type="spellEnd"/>
      <w:r w:rsidRPr="002B2D27">
        <w:t xml:space="preserve"> (2003): </w:t>
      </w:r>
      <w:r w:rsidRPr="002B2D27">
        <w:rPr>
          <w:b/>
          <w:bCs/>
          <w:i/>
          <w:iCs/>
        </w:rPr>
        <w:t xml:space="preserve">Biofeedback Games: </w:t>
      </w:r>
      <w:r w:rsidRPr="002B2D27">
        <w:t xml:space="preserve">“These games use </w:t>
      </w:r>
      <w:r w:rsidRPr="002B2D27">
        <w:rPr>
          <w:b/>
          <w:bCs/>
        </w:rPr>
        <w:t>input from biosensors</w:t>
      </w:r>
      <w:r w:rsidRPr="002B2D27">
        <w:t xml:space="preserve"> attached to players to influence the game, meaning that body control is a critical element of the game. Examples include </w:t>
      </w:r>
      <w:proofErr w:type="spellStart"/>
      <w:r w:rsidRPr="002B2D27">
        <w:t>Brainball</w:t>
      </w:r>
      <w:proofErr w:type="spellEnd"/>
      <w:r w:rsidRPr="002B2D27">
        <w:t xml:space="preserve"> [11], where players’ brainwaves guide a ball towards the opposing goal, and Relax-to-Win [2], where relaxation is required to win a race</w:t>
      </w:r>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14236C" w:rsidRPr="0014236C" w:rsidRDefault="0014236C" w:rsidP="00FD5995">
      <w:pPr>
        <w:pStyle w:val="StandardErstzeileneinzug"/>
        <w:rPr>
          <w:lang w:val="de-DE"/>
        </w:rPr>
      </w:pPr>
      <w:proofErr w:type="spellStart"/>
      <w:r>
        <w:t>Papagiannakis</w:t>
      </w:r>
      <w:proofErr w:type="spellEnd"/>
      <w:r>
        <w:t xml:space="preserve"> et al. </w:t>
      </w:r>
      <w:r w:rsidRPr="0014236C">
        <w:rPr>
          <w:lang w:val="de-DE"/>
        </w:rPr>
        <w:t>(2008): Übersicht.</w:t>
      </w:r>
    </w:p>
    <w:p w:rsidR="00103D56" w:rsidRDefault="0014236C" w:rsidP="0014236C">
      <w:pPr>
        <w:pStyle w:val="StandardErstzeileneinzug"/>
        <w:ind w:firstLine="0"/>
      </w:pPr>
      <w:proofErr w:type="spellStart"/>
      <w:r w:rsidRPr="0014236C">
        <w:lastRenderedPageBreak/>
        <w:t>Hier</w:t>
      </w:r>
      <w:proofErr w:type="spellEnd"/>
      <w:r w:rsidRPr="0014236C">
        <w:t xml:space="preserve"> </w:t>
      </w:r>
      <w:proofErr w:type="spellStart"/>
      <w:r w:rsidRPr="0014236C">
        <w:t>z.B</w:t>
      </w:r>
      <w:proofErr w:type="spellEnd"/>
      <w:r w:rsidRPr="0014236C">
        <w:t>.: “RFID (radio frequency identification) tags have also been recently used in 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14236C" w:rsidP="00FD5995">
      <w:pPr>
        <w:pStyle w:val="StandardErstzeileneinzug"/>
        <w:rPr>
          <w:lang w:val="de-DE"/>
        </w:rPr>
      </w:pPr>
      <w:r w:rsidRPr="0014236C">
        <w:rPr>
          <w:lang w:val="de-DE"/>
        </w:rPr>
        <w:t>Sharma et al. (WEKIT) kann auch hier nochmals (?) erwähnt werden</w:t>
      </w:r>
    </w:p>
    <w:p w:rsidR="00FD5995" w:rsidRPr="00FD5995" w:rsidRDefault="00FD5995" w:rsidP="00FD5995">
      <w:pPr>
        <w:pStyle w:val="StandardErstzeileneinzug"/>
      </w:pPr>
      <w:proofErr w:type="spellStart"/>
      <w:r w:rsidRPr="0044065F">
        <w:t>Robinett</w:t>
      </w:r>
      <w:proofErr w:type="spellEnd"/>
      <w:r w:rsidRPr="0044065F">
        <w:t xml:space="preserve"> (1992): “[The HMD] is not simply a visual d</w:t>
      </w:r>
      <w:r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8B4B86" w:rsidP="008B4B86">
      <w:pPr>
        <w:pStyle w:val="StandardErstzeileneinzug"/>
      </w:pPr>
      <w:proofErr w:type="spellStart"/>
      <w:r w:rsidRPr="008B4B86">
        <w:t>Hol</w:t>
      </w:r>
      <w:proofErr w:type="spellEnd"/>
      <w:r w:rsidRPr="008B4B86">
        <w:t xml:space="preserve">, </w:t>
      </w:r>
      <w:proofErr w:type="spellStart"/>
      <w:r w:rsidRPr="008B4B86">
        <w:t>Schön</w:t>
      </w:r>
      <w:proofErr w:type="spellEnd"/>
      <w:r w:rsidRPr="008B4B86">
        <w:t xml:space="preserve">, </w:t>
      </w:r>
      <w:proofErr w:type="spellStart"/>
      <w:r w:rsidRPr="008B4B86">
        <w:t>Gustafsson</w:t>
      </w:r>
      <w:proofErr w:type="spellEnd"/>
      <w:r w:rsidRPr="008B4B86">
        <w:t xml:space="preserve"> et al. (2006): „Tracking in u</w:t>
      </w:r>
      <w:r>
        <w:t xml:space="preserve">nprepared environments requires </w:t>
      </w:r>
      <w:r w:rsidRPr="008B4B86">
        <w:t>unobtrusive</w:t>
      </w:r>
      <w:r>
        <w:t xml:space="preserve"> </w:t>
      </w:r>
      <w:r w:rsidRPr="008B4B86">
        <w:t>sensors, i.e., the sensors have to satisfy mobility</w:t>
      </w:r>
      <w:r>
        <w:t xml:space="preserve"> </w:t>
      </w:r>
      <w:r w:rsidRPr="008B4B86">
        <w:t>constraints and cannot modify the environment.</w:t>
      </w:r>
      <w:r>
        <w:t xml:space="preserve"> </w:t>
      </w:r>
      <w:r w:rsidRPr="008B4B86">
        <w:t xml:space="preserve">The currently available sensor types </w:t>
      </w:r>
      <w:r w:rsidRPr="008B4B86">
        <w:rPr>
          <w:b/>
        </w:rPr>
        <w:t>(inertial, acoustic, magnetic, optical, radio, GPS)</w:t>
      </w:r>
      <w:r w:rsidRPr="008B4B86">
        <w:t xml:space="preserve"> all have their shortcomings</w:t>
      </w:r>
      <w:r>
        <w:t xml:space="preserve"> </w:t>
      </w:r>
      <w:r w:rsidRPr="008B4B86">
        <w:t>on for instance accuracy, robustness, stability and</w:t>
      </w:r>
      <w:r>
        <w:t xml:space="preserve"> </w:t>
      </w:r>
      <w:r w:rsidRPr="008B4B86">
        <w:t xml:space="preserve">operating speed [14]. Hence, </w:t>
      </w:r>
      <w:r w:rsidRPr="008B4B86">
        <w:rPr>
          <w:b/>
        </w:rPr>
        <w:t>multiple sensors have to be combined for robust and accurate tracking</w:t>
      </w:r>
      <w:r w:rsidRPr="008B4B86">
        <w:t>.</w:t>
      </w:r>
      <w:r>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proofErr w:type="spellStart"/>
      <w:r w:rsidR="007473E3" w:rsidRPr="00BC3112">
        <w:rPr>
          <w:lang w:val="de-DE"/>
        </w:rPr>
        <w:t>You</w:t>
      </w:r>
      <w:proofErr w:type="spellEnd"/>
      <w:r w:rsidR="007473E3" w:rsidRPr="00BC3112">
        <w:rPr>
          <w:lang w:val="de-DE"/>
        </w:rPr>
        <w:t xml:space="preserve">, S., &amp; Neumann, U. (2001): Vision + </w:t>
      </w:r>
      <w:proofErr w:type="spellStart"/>
      <w:r w:rsidR="007473E3" w:rsidRPr="00BC3112">
        <w:rPr>
          <w:lang w:val="de-DE"/>
        </w:rPr>
        <w:t>Gyro</w:t>
      </w:r>
      <w:proofErr w:type="spellEnd"/>
      <w:r w:rsidR="007473E3" w:rsidRPr="00BC3112">
        <w:rPr>
          <w:lang w:val="de-DE"/>
        </w:rPr>
        <w:t xml:space="preserve">. Referenziert andere, z.B. Feiner, S., </w:t>
      </w:r>
      <w:proofErr w:type="spellStart"/>
      <w:r w:rsidR="007473E3" w:rsidRPr="00BC3112">
        <w:rPr>
          <w:lang w:val="de-DE"/>
        </w:rPr>
        <w:t>MacIntyre</w:t>
      </w:r>
      <w:proofErr w:type="spellEnd"/>
      <w:r w:rsidR="007473E3" w:rsidRPr="00BC3112">
        <w:rPr>
          <w:lang w:val="de-DE"/>
        </w:rPr>
        <w:t>, B., Höllerer, T., &amp; Webster, A. (1997)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BC3112">
        <w:rPr>
          <w:lang w:val="de-DE"/>
        </w:rPr>
        <w:t xml:space="preserve">Schall et al. </w:t>
      </w:r>
      <w:r w:rsidR="00BC3112" w:rsidRPr="00BC3112">
        <w:t>(2009):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D62371" w:rsidP="00D62371">
      <w:pPr>
        <w:pStyle w:val="StandardErstzeileneinzug"/>
      </w:pPr>
      <w:proofErr w:type="spellStart"/>
      <w:r w:rsidRPr="00D62371">
        <w:t>Benko</w:t>
      </w:r>
      <w:proofErr w:type="spellEnd"/>
      <w:r w:rsidRPr="00D62371">
        <w:t xml:space="preserve"> et al. (</w:t>
      </w:r>
      <w:proofErr w:type="spellStart"/>
      <w:r w:rsidRPr="00D62371">
        <w:t>NormalTouch</w:t>
      </w:r>
      <w:proofErr w:type="spellEnd"/>
      <w:r w:rsidRPr="00D62371">
        <w:t xml:space="preserve">, </w:t>
      </w:r>
      <w:proofErr w:type="spellStart"/>
      <w:r w:rsidRPr="00D62371">
        <w:t>TextureTouch</w:t>
      </w:r>
      <w:proofErr w:type="spellEnd"/>
      <w:r w:rsidRPr="00D62371">
        <w:t xml:space="preserve">, </w:t>
      </w:r>
      <w:proofErr w:type="spellStart"/>
      <w:r w:rsidRPr="00D62371">
        <w:t>Vibrotactile</w:t>
      </w:r>
      <w:proofErr w:type="spellEnd"/>
      <w:r w:rsidRPr="00D62371">
        <w:t xml:space="preserve">) </w:t>
      </w:r>
      <w:proofErr w:type="spellStart"/>
      <w:r w:rsidRPr="00D62371">
        <w:t>als</w:t>
      </w:r>
      <w:proofErr w:type="spellEnd"/>
      <w:r w:rsidRPr="00D62371">
        <w:t xml:space="preserve"> </w:t>
      </w:r>
      <w:proofErr w:type="spellStart"/>
      <w:r w:rsidRPr="00D62371">
        <w:t>Beispiel</w:t>
      </w:r>
      <w:proofErr w:type="spellEnd"/>
      <w:r w:rsidRPr="00D62371">
        <w:t xml:space="preserve"> </w:t>
      </w:r>
      <w:proofErr w:type="spellStart"/>
      <w:r w:rsidRPr="00D62371">
        <w:t>für</w:t>
      </w:r>
      <w:proofErr w:type="spellEnd"/>
      <w:r w:rsidRPr="00D62371">
        <w:t xml:space="preserve"> Sensor (Location, Finger Force Sensor (FSR)) + </w:t>
      </w:r>
      <w:proofErr w:type="spellStart"/>
      <w:r w:rsidRPr="00D62371">
        <w:t>Aktuator</w:t>
      </w:r>
      <w:proofErr w:type="spellEnd"/>
      <w:r w:rsidRPr="00D62371">
        <w:t xml:space="preserve"> – System -&gt; „ </w:t>
      </w:r>
      <w:r>
        <w:t>[O]</w:t>
      </w:r>
      <w:r w:rsidRPr="00D62371">
        <w:t>n several occasions we observed people trying out our devices when they were not well calibrated (</w:t>
      </w:r>
      <w:r>
        <w:t>…</w:t>
      </w:r>
      <w:r w:rsidRPr="00D62371">
        <w:t>). To our surprise, people often claimed that the device accurately rendered the surface when in fact it was obviously incorrect</w:t>
      </w:r>
      <w:r>
        <w:t>.</w:t>
      </w:r>
      <w:r w:rsidRPr="00D62371">
        <w:t>”</w:t>
      </w:r>
    </w:p>
    <w:p w:rsidR="009902FC" w:rsidRDefault="009902FC" w:rsidP="00D62371">
      <w:pPr>
        <w:pStyle w:val="StandardErstzeileneinzug"/>
      </w:pPr>
      <w:r>
        <w:lastRenderedPageBreak/>
        <w:t xml:space="preserve">Sharma et al.: </w:t>
      </w:r>
      <w:r w:rsidRPr="009902FC">
        <w:t xml:space="preserve">“At the moment, there are few solutions available for using </w:t>
      </w:r>
      <w:r w:rsidRPr="009902FC">
        <w:rPr>
          <w:b/>
        </w:rPr>
        <w:t>eye tracking with augmented reality glasses</w:t>
      </w:r>
      <w:r w:rsidRPr="009902FC">
        <w:t>, for example, Pupil labs</w:t>
      </w:r>
      <w:hyperlink r:id="rId12" w:history="1">
        <w:r w:rsidRPr="009902FC">
          <w:rPr>
            <w:rStyle w:val="Hyperlink"/>
          </w:rPr>
          <w:t>[116]</w:t>
        </w:r>
      </w:hyperlink>
      <w:r w:rsidRPr="009902FC">
        <w:t xml:space="preserve">, provide eye tracking add-ons for Oculus Rift DK2, HTC Vive Binocular, and Epson </w:t>
      </w:r>
      <w:proofErr w:type="spellStart"/>
      <w:r w:rsidRPr="009902FC">
        <w:t>Moverio</w:t>
      </w:r>
      <w:proofErr w:type="spellEnd"/>
      <w:r w:rsidRPr="009902FC">
        <w:t xml:space="preserve"> BT-200. However, there are no eye-tracking solutions available for Microsoft </w:t>
      </w:r>
      <w:proofErr w:type="spellStart"/>
      <w:r w:rsidRPr="009902FC">
        <w:t>Hololens</w:t>
      </w:r>
      <w:proofErr w:type="spellEnd"/>
      <w:r w:rsidRPr="009902FC">
        <w:t>.”</w:t>
      </w:r>
    </w:p>
    <w:p w:rsidR="00D838DE" w:rsidRDefault="00D838DE" w:rsidP="00D62371">
      <w:pPr>
        <w:pStyle w:val="StandardErstzeileneinzug"/>
      </w:pPr>
      <w:proofErr w:type="spellStart"/>
      <w:r>
        <w:t>Ternier</w:t>
      </w:r>
      <w:proofErr w:type="spellEnd"/>
      <w:r>
        <w:t xml:space="preserve">, De </w:t>
      </w:r>
      <w:proofErr w:type="spellStart"/>
      <w:r>
        <w:t>Vries</w:t>
      </w:r>
      <w:proofErr w:type="spellEnd"/>
      <w:r>
        <w:t xml:space="preserve"> etc. (2012):</w:t>
      </w:r>
      <w:r w:rsidRPr="00D838DE">
        <w:t xml:space="preserve"> “Augmented reality browsers like </w:t>
      </w:r>
      <w:proofErr w:type="spellStart"/>
      <w:r w:rsidRPr="00D838DE">
        <w:t>Layar</w:t>
      </w:r>
      <w:proofErr w:type="spellEnd"/>
      <w:r w:rsidRPr="00D838DE">
        <w:t xml:space="preserve"> and Wikitude² support filtering dependent on the sensors available on the mobile device. These browsers have implemented a Point </w:t>
      </w:r>
      <w:proofErr w:type="gramStart"/>
      <w:r w:rsidRPr="00D838DE">
        <w:t>Of</w:t>
      </w:r>
      <w:proofErr w:type="gramEnd"/>
      <w:r w:rsidRPr="00D838DE">
        <w:t xml:space="preserve"> Interest (POI) browsing interaction pattern, delivering the same experience for every user.”</w:t>
      </w:r>
    </w:p>
    <w:p w:rsidR="00B238C1" w:rsidRDefault="00B238C1" w:rsidP="00D62371">
      <w:pPr>
        <w:pStyle w:val="StandardErstzeileneinzug"/>
      </w:pPr>
      <w:r>
        <w:t xml:space="preserve">Bower et al. (2014): </w:t>
      </w:r>
      <w:r w:rsidRPr="00B238C1">
        <w:t xml:space="preserve">“Future developments in Augmented Reality will undoubtedly include new trigger types </w:t>
      </w:r>
      <w:r w:rsidRPr="00B238C1">
        <w:rPr>
          <w:b/>
          <w:bCs/>
        </w:rPr>
        <w:t>(sound, temperature, smell, voice recognition, etc.)</w:t>
      </w:r>
      <w:r w:rsidRPr="00B238C1">
        <w:t xml:space="preserve">, more intelligent input recognition </w:t>
      </w:r>
      <w:r w:rsidRPr="00B238C1">
        <w:rPr>
          <w:b/>
          <w:bCs/>
        </w:rPr>
        <w:t>(e.g. more accurate gesture detection</w:t>
      </w:r>
      <w:r w:rsidRPr="00B238C1">
        <w:t xml:space="preserve"> as is already being evidenced by products such as Leap Motion) and increased sophistication of expression types (for instance, </w:t>
      </w:r>
      <w:r w:rsidRPr="00B238C1">
        <w:rPr>
          <w:b/>
          <w:bCs/>
        </w:rPr>
        <w:t>vibration, more complex 3D interactive models, scripts to networked devices</w:t>
      </w:r>
      <w:r w:rsidRPr="00B238C1">
        <w:t xml:space="preserve"> such as printers and lights as outlined by “Internet of Things” proponents).”</w:t>
      </w:r>
    </w:p>
    <w:p w:rsidR="00A51483" w:rsidRDefault="00A51483" w:rsidP="00D62371">
      <w:pPr>
        <w:pStyle w:val="StandardErstzeileneinzug"/>
      </w:pPr>
      <w:r>
        <w:t>Wetzel (2013):</w:t>
      </w:r>
      <w:r w:rsidRPr="00A51483">
        <w:rPr>
          <w:rFonts w:ascii="Arial" w:hAnsi="Arial" w:cs="Arial"/>
          <w:color w:val="000000"/>
          <w:szCs w:val="22"/>
        </w:rPr>
        <w:t xml:space="preserve"> </w:t>
      </w:r>
      <w:r w:rsidRPr="00A51483">
        <w:t xml:space="preserve">“[Mobile Mixed Reality] games have certain peculiarities that make them arguably more complex to develop and maintain than traditional videogames (e.g. </w:t>
      </w:r>
      <w:r w:rsidRPr="00A51483">
        <w:rPr>
          <w:b/>
          <w:bCs/>
        </w:rPr>
        <w:t>reliance on inaccurate sensor data</w:t>
      </w:r>
      <w:r w:rsidRPr="00A51483">
        <w:t>, close coupling to the real world context they are played in).”</w:t>
      </w:r>
    </w:p>
    <w:p w:rsidR="00A82108" w:rsidRDefault="00A82108" w:rsidP="00D62371">
      <w:pPr>
        <w:pStyle w:val="StandardErstzeileneinzug"/>
      </w:pPr>
      <w:r>
        <w:t xml:space="preserve">Wetzel (2013): </w:t>
      </w:r>
      <w:r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Pr="00A82108">
        <w:rPr>
          <w:b/>
          <w:bCs/>
        </w:rPr>
        <w:t>Different sensors have different strengths and weaknesses that completely change the way a game might work.</w:t>
      </w:r>
      <w:r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1B1B51" w:rsidP="00D62371">
      <w:pPr>
        <w:pStyle w:val="StandardErstzeileneinzug"/>
      </w:pPr>
      <w:r w:rsidRPr="001B1B51">
        <w:rPr>
          <w:lang w:val="de-DE"/>
        </w:rPr>
        <w:t xml:space="preserve">Wetzel et al. </w:t>
      </w:r>
      <w:r w:rsidRPr="001B1B51">
        <w:t>(2008) (</w:t>
      </w:r>
      <w:proofErr w:type="spellStart"/>
      <w:r w:rsidRPr="001B1B51">
        <w:t>könnte</w:t>
      </w:r>
      <w:proofErr w:type="spellEnd"/>
      <w:r w:rsidRPr="001B1B51">
        <w:t xml:space="preserve"> </w:t>
      </w:r>
      <w:proofErr w:type="spellStart"/>
      <w:r w:rsidRPr="001B1B51">
        <w:t>auch</w:t>
      </w:r>
      <w:proofErr w:type="spellEnd"/>
      <w:r w:rsidRPr="001B1B51">
        <w:t xml:space="preserve"> in </w:t>
      </w:r>
      <w:proofErr w:type="spellStart"/>
      <w:r w:rsidRPr="001B1B51">
        <w:t>andere</w:t>
      </w:r>
      <w:proofErr w:type="spellEnd"/>
      <w:r w:rsidRPr="001B1B51">
        <w:t xml:space="preserve"> </w:t>
      </w:r>
      <w:proofErr w:type="spellStart"/>
      <w:r w:rsidRPr="001B1B51">
        <w:t>Bereiche</w:t>
      </w:r>
      <w:proofErr w:type="spellEnd"/>
      <w:r w:rsidRPr="001B1B51">
        <w:t xml:space="preserve"> </w:t>
      </w:r>
      <w:proofErr w:type="spellStart"/>
      <w:r w:rsidRPr="001B1B51">
        <w:t>passen</w:t>
      </w:r>
      <w:proofErr w:type="spellEnd"/>
      <w:r w:rsidRPr="001B1B51">
        <w:t xml:space="preserve">): “A simple </w:t>
      </w:r>
      <w:r w:rsidRPr="001B1B51">
        <w:rPr>
          <w:b/>
          <w:bCs/>
        </w:rPr>
        <w:t>sound sensor</w:t>
      </w:r>
      <w:r w:rsidRPr="001B1B51">
        <w:t xml:space="preserve"> connected to one of the phones via Bluetooth reacts to playing the magical flute and sends the information to the game server that in turn evaluates the notes.”</w:t>
      </w:r>
    </w:p>
    <w:p w:rsidR="00F57265" w:rsidRPr="00F57265" w:rsidRDefault="00F57265" w:rsidP="00D62371">
      <w:pPr>
        <w:pStyle w:val="StandardErstzeileneinzug"/>
      </w:pPr>
      <w:r>
        <w:t>FitzGerald et al.: “</w:t>
      </w:r>
      <w:r w:rsidRPr="00F57265">
        <w:t xml:space="preserve">smartphones contain an increasingly sophisticated </w:t>
      </w:r>
      <w:r w:rsidRPr="00F57265">
        <w:rPr>
          <w:b/>
          <w:bCs/>
        </w:rPr>
        <w:t>array of sensors</w:t>
      </w:r>
      <w:r w:rsidRPr="00F57265">
        <w:t>, enabling AR to become more personally meaningful and situated.”</w:t>
      </w:r>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C28" w:rsidRDefault="00144C28">
      <w:r>
        <w:separator/>
      </w:r>
    </w:p>
  </w:endnote>
  <w:endnote w:type="continuationSeparator" w:id="0">
    <w:p w:rsidR="00144C28" w:rsidRDefault="0014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C28" w:rsidRDefault="00144C28">
      <w:r>
        <w:separator/>
      </w:r>
    </w:p>
  </w:footnote>
  <w:footnote w:type="continuationSeparator" w:id="0">
    <w:p w:rsidR="00144C28" w:rsidRDefault="00144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40616">
      <w:rPr>
        <w:rStyle w:val="Seitenzahl"/>
        <w:noProof/>
      </w:rPr>
      <w:t>19</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600D"/>
    <w:rsid w:val="000C64CC"/>
    <w:rsid w:val="000D20DD"/>
    <w:rsid w:val="000D35EE"/>
    <w:rsid w:val="000D4F46"/>
    <w:rsid w:val="000D65C8"/>
    <w:rsid w:val="000E6263"/>
    <w:rsid w:val="000E720A"/>
    <w:rsid w:val="000F6C54"/>
    <w:rsid w:val="00102062"/>
    <w:rsid w:val="00102438"/>
    <w:rsid w:val="00103D56"/>
    <w:rsid w:val="00105473"/>
    <w:rsid w:val="00105D92"/>
    <w:rsid w:val="001070E4"/>
    <w:rsid w:val="001164F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D1A4F"/>
    <w:rsid w:val="004D4AB4"/>
    <w:rsid w:val="004D788B"/>
    <w:rsid w:val="004E06D1"/>
    <w:rsid w:val="004E24E8"/>
    <w:rsid w:val="004E2E0B"/>
    <w:rsid w:val="004E3CA3"/>
    <w:rsid w:val="004E465F"/>
    <w:rsid w:val="004E4BD8"/>
    <w:rsid w:val="004E77F0"/>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639AE"/>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D3921"/>
    <w:rsid w:val="008D40A6"/>
    <w:rsid w:val="008D4F8D"/>
    <w:rsid w:val="008D6E60"/>
    <w:rsid w:val="008E0655"/>
    <w:rsid w:val="008E0D8C"/>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8FF"/>
    <w:rsid w:val="009659D9"/>
    <w:rsid w:val="00970308"/>
    <w:rsid w:val="00971773"/>
    <w:rsid w:val="009718EB"/>
    <w:rsid w:val="009736DF"/>
    <w:rsid w:val="0097466D"/>
    <w:rsid w:val="00980AD9"/>
    <w:rsid w:val="00980FD5"/>
    <w:rsid w:val="00985C09"/>
    <w:rsid w:val="009874D2"/>
    <w:rsid w:val="009902FC"/>
    <w:rsid w:val="0099112B"/>
    <w:rsid w:val="0099193B"/>
    <w:rsid w:val="009A30E2"/>
    <w:rsid w:val="009B41E3"/>
    <w:rsid w:val="009C0952"/>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F7"/>
    <w:rsid w:val="00B20DEB"/>
    <w:rsid w:val="00B238C1"/>
    <w:rsid w:val="00B24973"/>
    <w:rsid w:val="00B30690"/>
    <w:rsid w:val="00B344D6"/>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05709"/>
    <w:rsid w:val="00E11536"/>
    <w:rsid w:val="00E2010B"/>
    <w:rsid w:val="00E238D9"/>
    <w:rsid w:val="00E2583E"/>
    <w:rsid w:val="00E33E66"/>
    <w:rsid w:val="00E40D90"/>
    <w:rsid w:val="00E42A9F"/>
    <w:rsid w:val="00E44205"/>
    <w:rsid w:val="00E53175"/>
    <w:rsid w:val="00E61C73"/>
    <w:rsid w:val="00E71028"/>
    <w:rsid w:val="00E7235E"/>
    <w:rsid w:val="00E76431"/>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C216C"/>
    <w:rsid w:val="00FD1A36"/>
    <w:rsid w:val="00FD327E"/>
    <w:rsid w:val="00FD5995"/>
    <w:rsid w:val="00FD65E3"/>
    <w:rsid w:val="00FE0E41"/>
    <w:rsid w:val="00FE2E88"/>
    <w:rsid w:val="00FE4B49"/>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30EB8-98B8-4380-978D-ADE6A679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19</Pages>
  <Words>6725</Words>
  <Characters>37800</Characters>
  <Application>Microsoft Office Word</Application>
  <DocSecurity>0</DocSecurity>
  <Lines>687</Lines>
  <Paragraphs>337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147</cp:revision>
  <cp:lastPrinted>2016-02-29T00:36:00Z</cp:lastPrinted>
  <dcterms:created xsi:type="dcterms:W3CDTF">2015-12-16T20:53:00Z</dcterms:created>
  <dcterms:modified xsi:type="dcterms:W3CDTF">2016-12-18T18:27:00Z</dcterms:modified>
</cp:coreProperties>
</file>