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 xml:space="preserve">(see appendix)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12 of the remaining </w:t>
      </w:r>
      <w:r w:rsidRPr="00F3545F">
        <w:lastRenderedPageBreak/>
        <w:t>15 expressing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3" w:name="_Toc471154312"/>
      <w:r w:rsidRPr="00F3545F">
        <w:rPr>
          <w:lang w:val="en-US"/>
        </w:rPr>
        <w:t>Related Work</w:t>
      </w:r>
      <w:bookmarkEnd w:id="3"/>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4" w:name="_Toc471154313"/>
      <w:r w:rsidRPr="00F3545F">
        <w:rPr>
          <w:lang w:val="en-US"/>
        </w:rPr>
        <w:lastRenderedPageBreak/>
        <w:t>Literature review</w:t>
      </w:r>
      <w:bookmarkEnd w:id="4"/>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5" w:name="_Toc471154314"/>
      <w:r w:rsidRPr="00F3545F">
        <w:rPr>
          <w:lang w:val="en-US"/>
        </w:rPr>
        <w:t>Augmented Reality</w:t>
      </w:r>
      <w:bookmarkEnd w:id="5"/>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6" w:name="_Toc471154315"/>
      <w:r w:rsidRPr="00F3545F">
        <w:rPr>
          <w:lang w:val="en-US"/>
        </w:rPr>
        <w:t>Definitions</w:t>
      </w:r>
      <w:r w:rsidR="004E265D">
        <w:rPr>
          <w:lang w:val="en-US"/>
        </w:rPr>
        <w:t xml:space="preserve"> and classifications</w:t>
      </w:r>
      <w:bookmarkEnd w:id="6"/>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8D553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pilots shortly after World War II.”</w:t>
      </w:r>
      <w:r w:rsidR="008D553C">
        <w:rPr>
          <w:lang w:val="en-US"/>
        </w:rPr>
        <w:t xml:space="preserve"> </w:t>
      </w:r>
      <w:r w:rsidR="008D553C" w:rsidRPr="00F3545F">
        <w:rPr>
          <w:lang w:val="en-US"/>
        </w:rPr>
        <w:fldChar w:fldCharType="begin" w:fldLock="1"/>
      </w:r>
      <w:r w:rsidR="008D553C">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8D553C">
        <w:rPr>
          <w:noProof/>
          <w:lang w:val="en-US"/>
        </w:rPr>
        <w:t xml:space="preserve"> para. 1"</w:t>
      </w:r>
      <w:r w:rsidR="008D553C" w:rsidRPr="00F3545F">
        <w:rPr>
          <w:noProof/>
          <w:lang w:val="en-US"/>
        </w:rPr>
        <w:t>)</w:t>
      </w:r>
      <w:r w:rsidR="008D553C" w:rsidRPr="00F3545F">
        <w:rPr>
          <w:lang w:val="en-US"/>
        </w:rPr>
        <w:fldChar w:fldCharType="end"/>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8D553C">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5EDAAF60" wp14:editId="0686F110">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Virtuality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DE3608" w:rsidRPr="00F3545F">
        <w:t xml:space="preserve"> defines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wearable (and that those attributes are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 </w:t>
      </w:r>
      <w:r w:rsidRPr="00F3545F">
        <w:fldChar w:fldCharType="begin" w:fldLock="1"/>
      </w:r>
      <w:r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also mentions haptic and vestibular AR not just in passing but as “natural [modes] of operation.”</w:t>
      </w:r>
    </w:p>
    <w:p w:rsidR="00C26856" w:rsidRPr="00F3545F" w:rsidRDefault="00C26856" w:rsidP="000A33F9">
      <w:pPr>
        <w:pStyle w:val="StandardErstzeileneinzug"/>
      </w:pP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 xml:space="preserve">still includes senses other than vision, being </w:t>
      </w:r>
      <w:commentRangeStart w:id="7"/>
      <w:r w:rsidR="000A33F9" w:rsidRPr="00F3545F">
        <w:t>“a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includes other primary human senses.”</w:t>
      </w:r>
      <w:commentRangeEnd w:id="7"/>
      <w:r w:rsidR="0007225C">
        <w:rPr>
          <w:rStyle w:val="Kommentarzeichen"/>
          <w:lang w:val="de-DE"/>
        </w:rPr>
        <w:commentReference w:id="7"/>
      </w:r>
    </w:p>
    <w:p w:rsidR="000A255A" w:rsidRPr="00F3545F" w:rsidRDefault="000A33F9" w:rsidP="00497094">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B42162" w:rsidRPr="00F3545F">
        <w:rPr>
          <w:noProof/>
        </w:rPr>
        <w:t>(Azuma et al., 2001)</w:t>
      </w:r>
      <w:r w:rsidR="00B42162" w:rsidRPr="00F3545F">
        <w:fldChar w:fldCharType="end"/>
      </w:r>
      <w:r w:rsidRPr="00F3545F">
        <w:t xml:space="preserve"> bring up applications that</w:t>
      </w:r>
      <w:r w:rsidR="00B42162" w:rsidRPr="00F3545F">
        <w:t xml:space="preserve"> </w:t>
      </w:r>
      <w:commentRangeStart w:id="8"/>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but we consider it a subset of AR.”</w:t>
      </w:r>
      <w:commentRangeEnd w:id="8"/>
      <w:r w:rsidR="00B27A17">
        <w:rPr>
          <w:rStyle w:val="Kommentarzeichen"/>
          <w:lang w:val="de-DE"/>
        </w:rPr>
        <w:commentReference w:id="8"/>
      </w:r>
      <w:r w:rsidRPr="00F3545F">
        <w:t xml:space="preserve"> Similarly, </w:t>
      </w:r>
      <w:r w:rsidR="006E1C09" w:rsidRPr="00F3545F">
        <w:rPr>
          <w:i/>
        </w:rPr>
        <w:fldChar w:fldCharType="begin" w:fldLock="1"/>
      </w:r>
      <w:r w:rsidR="00D76034">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 &amp; Broll, 2008)</w:t>
      </w:r>
      <w:r w:rsidR="006E1C09" w:rsidRPr="00F3545F">
        <w:rPr>
          <w:i/>
        </w:rPr>
        <w:fldChar w:fldCharType="end"/>
      </w:r>
      <w:r w:rsidRPr="00F3545F">
        <w:rPr>
          <w:i/>
        </w:rPr>
        <w:t xml:space="preserve"> </w:t>
      </w:r>
      <w:r w:rsidRPr="00F3545F">
        <w:t xml:space="preserve">question whether the game The Eye of Judgement is in fact </w:t>
      </w:r>
      <w:r w:rsidRPr="00F3545F">
        <w:lastRenderedPageBreak/>
        <w:t xml:space="preserve">Augmented Reality, since, although a camera uses physical playing cards as input, </w:t>
      </w:r>
      <w:r w:rsidR="00FC216C" w:rsidRPr="00F3545F">
        <w:t>”</w:t>
      </w:r>
      <w:r w:rsidR="00F13627">
        <w:t>t</w:t>
      </w:r>
      <w:r w:rsidRPr="00F3545F">
        <w:t>he</w:t>
      </w:r>
      <w:r w:rsidR="00FC216C" w:rsidRPr="00F3545F">
        <w:t xml:space="preserve"> real playing field is never seen on the screen as it is completely overlaid by virtual characters and objects</w:t>
      </w:r>
      <w:r w:rsidR="009E105C" w:rsidRPr="00F3545F">
        <w:t>.</w:t>
      </w:r>
      <w:r w:rsidR="00FC216C" w:rsidRPr="00F3545F">
        <w:t>”</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9"/>
      <w:commentRangeStart w:id="10"/>
      <w:r w:rsidR="00F70B35" w:rsidRPr="00F3545F">
        <w:fldChar w:fldCharType="begin" w:fldLock="1"/>
      </w:r>
      <w:r w:rsidR="00776D5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F70B35" w:rsidRPr="00F3545F">
        <w:rPr>
          <w:noProof/>
        </w:rPr>
        <w:t>(Schell, 2015)</w:t>
      </w:r>
      <w:r w:rsidR="00F70B35" w:rsidRPr="00F3545F">
        <w:fldChar w:fldCharType="end"/>
      </w:r>
      <w:commentRangeEnd w:id="9"/>
      <w:r w:rsidR="00497094" w:rsidRPr="00F3545F">
        <w:rPr>
          <w:rStyle w:val="Kommentarzeichen"/>
        </w:rPr>
        <w:commentReference w:id="9"/>
      </w:r>
      <w:r w:rsidR="00497094" w:rsidRPr="00F3545F">
        <w:t xml:space="preserve"> predicts that </w:t>
      </w:r>
      <w:commentRangeStart w:id="11"/>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different technologies and systems.</w:t>
      </w:r>
      <w:r w:rsidR="00497094" w:rsidRPr="00F3545F">
        <w:rPr>
          <w:bCs/>
        </w:rPr>
        <w:t>”</w:t>
      </w:r>
      <w:commentRangeEnd w:id="10"/>
      <w:r w:rsidR="004E265D">
        <w:rPr>
          <w:rStyle w:val="Kommentarzeichen"/>
          <w:lang w:val="de-DE"/>
        </w:rPr>
        <w:commentReference w:id="10"/>
      </w:r>
      <w:commentRangeEnd w:id="11"/>
      <w:r w:rsidR="00B27A17">
        <w:rPr>
          <w:rStyle w:val="Kommentarzeichen"/>
          <w:lang w:val="de-DE"/>
        </w:rPr>
        <w:commentReference w:id="11"/>
      </w:r>
    </w:p>
    <w:p w:rsidR="007346D5" w:rsidRPr="00F3545F" w:rsidRDefault="00F55D1E" w:rsidP="00B94732">
      <w:pPr>
        <w:pStyle w:val="berschrift3"/>
        <w:rPr>
          <w:lang w:val="en-US"/>
        </w:rPr>
      </w:pPr>
      <w:bookmarkStart w:id="12" w:name="_Toc471154316"/>
      <w:r w:rsidRPr="00F3545F">
        <w:rPr>
          <w:lang w:val="en-US"/>
        </w:rPr>
        <w:t>Approaches</w:t>
      </w:r>
      <w:bookmarkEnd w:id="12"/>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makes a </w:t>
      </w:r>
      <w:r w:rsidR="00FC007A" w:rsidRPr="00F3545F">
        <w:rPr>
          <w:lang w:val="en-US"/>
        </w:rPr>
        <w:t xml:space="preserve">distinction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5E4D1F" w:rsidRPr="00F3545F">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Grover, 2014)</w:t>
      </w:r>
      <w:r w:rsidR="002576DB" w:rsidRPr="00F3545F">
        <w:rPr>
          <w:lang w:val="en-US"/>
        </w:rPr>
        <w:fldChar w:fldCharType="end"/>
      </w:r>
      <w:r w:rsidR="002576DB" w:rsidRPr="00F3545F">
        <w:rPr>
          <w:lang w:val="en-US"/>
        </w:rPr>
        <w:t xml:space="preserve"> make between basic hardware requirements and “other technologies” with which Augmented Reality experiences may be improved</w:t>
      </w:r>
      <w:r w:rsidR="00FC007A" w:rsidRPr="00F3545F">
        <w:rPr>
          <w:lang w:val="en-US"/>
        </w:rPr>
        <w:t xml:space="preserve">. </w:t>
      </w:r>
      <w:r w:rsidRPr="00F3545F">
        <w:rPr>
          <w:lang w:val="en-US"/>
        </w:rPr>
        <w:t xml:space="preserve">Generally, section 2.1.2.1 </w:t>
      </w:r>
      <w:r w:rsidR="00751759" w:rsidRPr="00F3545F">
        <w:rPr>
          <w:lang w:val="en-US"/>
        </w:rPr>
        <w:t>demonstrates ways in which information is conveyed from the device to the user, while the techniques in section 2.1.2.2 serve to transfer information from the environment to the device</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Pr="00F3545F">
        <w:rPr>
          <w:noProof/>
        </w:rPr>
        <w:t>(Azuma et al., 2001)</w:t>
      </w:r>
      <w:r w:rsidRPr="00F3545F">
        <w:fldChar w:fldCharType="end"/>
      </w:r>
      <w:r w:rsidRPr="00F3545F">
        <w:t xml:space="preserve"> groups both displays, which are discussed in 2.1.2.1, and tracking, which is a subject of 2.1.2.2, under the category of “enabling technologies”</w:t>
      </w:r>
      <w:r w:rsidR="000D68A4" w:rsidRPr="00F3545F">
        <w:t xml:space="preserve">, while </w:t>
      </w:r>
      <w:r w:rsidR="000D68A4"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0D68A4" w:rsidRPr="00F3545F">
        <w:rPr>
          <w:noProof/>
        </w:rPr>
        <w:t>(Papagiannakis et al., 2008)</w:t>
      </w:r>
      <w:r w:rsidR="000D68A4" w:rsidRPr="00F3545F">
        <w:fldChar w:fldCharType="end"/>
      </w:r>
      <w:r w:rsidR="000D68A4" w:rsidRPr="00F3545F">
        <w:t xml:space="preserve"> makes a distinction between “technological characteristics” and “the applicability in different environments like indoor or outdoor”, both of which </w:t>
      </w:r>
      <w:r w:rsidR="00FC007A" w:rsidRPr="00F3545F">
        <w:t xml:space="preserve">would </w:t>
      </w:r>
      <w:r w:rsidR="000D68A4" w:rsidRPr="00F3545F">
        <w:t xml:space="preserve">fall under “Technology”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3" w:name="_Toc471154317"/>
      <w:r>
        <w:rPr>
          <w:lang w:val="en-US"/>
        </w:rPr>
        <w:t>Augmentation Basis</w:t>
      </w:r>
      <w:bookmarkEnd w:id="13"/>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Points of Interest (POI) are defined and associated with v</w:t>
      </w:r>
      <w:r>
        <w:t xml:space="preserve">irtual assets – </w:t>
      </w:r>
      <w:commentRangeStart w:id="14"/>
      <w:r>
        <w:t>“When a user . . .</w:t>
      </w:r>
      <w:r w:rsidRPr="00F3545F">
        <w:t xml:space="preserve"> explores a space the POIs are revealed and the content can be accessed.”</w:t>
      </w:r>
      <w:commentRangeEnd w:id="14"/>
      <w:r>
        <w:rPr>
          <w:rStyle w:val="Kommentarzeichen"/>
          <w:lang w:val="de-DE"/>
        </w:rPr>
        <w:commentReference w:id="14"/>
      </w:r>
      <w:r w:rsidRPr="00F3545F">
        <w:t xml:space="preserve"> This exploration can be based solely on location – usually provided through GPS – as in </w:t>
      </w: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or take into account user orientation for increased precision, as in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lastRenderedPageBreak/>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Pr="00F3545F">
        <w:rPr>
          <w:noProof/>
        </w:rPr>
        <w:t>(You &amp; Neumann, 2001)</w:t>
      </w:r>
      <w:r w:rsidRPr="00F3545F">
        <w:fldChar w:fldCharType="end"/>
      </w:r>
      <w:r w:rsidRPr="00F3545F">
        <w:t xml:space="preserve"> name as examples for fiducials corner features, square shape markers, circular markers and multi-ring color markers, while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refers to barcodes and QR codes and goes on to state that “recent developments in image recognition and mobile technology allow for any image to be used as a marker as long as it is pre-defined in the AR code.”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differentiates 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mentions that using infra-red lights can vastly improve tracking quality) and thus vision-based approaches are best suited to prepared environments. Meanwhile location-based systems can suffer from inaccuracy or loss of tracking (for example GPS does not work indoors) – marker-based tracking can be a “much more stable and a simple yet often times effective solution.” </w:t>
      </w:r>
      <w:r w:rsidRPr="00F3545F">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p>
    <w:p w:rsidR="00A1445D" w:rsidRDefault="00A1445D" w:rsidP="00A1445D">
      <w:pPr>
        <w:pStyle w:val="StandardErstzeileneinzug"/>
        <w:tabs>
          <w:tab w:val="left" w:pos="3735"/>
        </w:tabs>
      </w:pPr>
      <w:r w:rsidRPr="00F3545F">
        <w:t xml:space="preserve">The solution may lie in the use of hybrid systems as described by </w:t>
      </w:r>
      <w:r w:rsidRPr="00F3545F">
        <w:fldChar w:fldCharType="begin" w:fldLock="1"/>
      </w:r>
      <w:r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Pr="00F3545F">
        <w:fldChar w:fldCharType="separate"/>
      </w:r>
      <w:r w:rsidRPr="00F3545F">
        <w:rPr>
          <w:noProof/>
        </w:rPr>
        <w:t>(Schall et al., 2009)</w:t>
      </w:r>
      <w:r w:rsidRPr="00F3545F">
        <w:fldChar w:fldCharType="end"/>
      </w:r>
      <w:r w:rsidRPr="00F3545F">
        <w:t xml:space="preserve"> or image understanding, which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sidRPr="00F3545F">
        <w:fldChar w:fldCharType="separate"/>
      </w:r>
      <w:r w:rsidRPr="00F3545F">
        <w:rPr>
          <w:noProof/>
        </w:rPr>
        <w:t>(Furmanski, Azuma, &amp; Daily, 2002)</w:t>
      </w:r>
      <w:r w:rsidRPr="00F3545F">
        <w:fldChar w:fldCharType="end"/>
      </w:r>
      <w:r w:rsidRPr="00F3545F">
        <w:t xml:space="preserve"> explain “attempts to recognize structures and features with the aim of automatically describing the contents of an image</w:t>
      </w:r>
      <w:r>
        <w:t>.”</w:t>
      </w:r>
    </w:p>
    <w:p w:rsidR="00CB77B9" w:rsidRPr="00F3545F" w:rsidRDefault="00052F57" w:rsidP="00A1445D">
      <w:pPr>
        <w:pStyle w:val="StandardErstzeileneinzug"/>
        <w:tabs>
          <w:tab w:val="left" w:pos="3735"/>
        </w:tabs>
      </w:pPr>
      <w:r>
        <w:t>[HOLOLENS]</w:t>
      </w:r>
    </w:p>
    <w:p w:rsidR="00257711" w:rsidRPr="00F3545F" w:rsidRDefault="00F55D1E" w:rsidP="00257711">
      <w:pPr>
        <w:pStyle w:val="berschrift4"/>
        <w:rPr>
          <w:lang w:val="en-US"/>
        </w:rPr>
      </w:pPr>
      <w:bookmarkStart w:id="15" w:name="_Toc471154318"/>
      <w:r w:rsidRPr="00F3545F">
        <w:rPr>
          <w:lang w:val="en-US"/>
        </w:rPr>
        <w:t>Technology</w:t>
      </w:r>
      <w:bookmarkEnd w:id="15"/>
    </w:p>
    <w:p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w:t>
      </w:r>
      <w:proofErr w:type="spellStart"/>
      <w:r w:rsidR="00A328D8" w:rsidRPr="00F3545F">
        <w:rPr>
          <w:noProof/>
          <w:lang w:val="en-US"/>
        </w:rPr>
        <w:t>Calo</w:t>
      </w:r>
      <w:proofErr w:type="spellEnd"/>
      <w:r w:rsidR="00A328D8" w:rsidRPr="00F3545F">
        <w:rPr>
          <w:noProof/>
          <w:lang w:val="en-US"/>
        </w:rPr>
        <w:t xml:space="preserve">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(FitzGerald et al., 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w:t>
      </w:r>
      <w:r w:rsidR="00F13627">
        <w:t xml:space="preserve">ction 2.1.1), explaining that </w:t>
      </w:r>
      <w:commentRangeStart w:id="16"/>
      <w:r w:rsidR="00F13627">
        <w:t>“i</w:t>
      </w:r>
      <w:r w:rsidRPr="00F3545F">
        <w:t>n the long term, we expect that many augmented real</w:t>
      </w:r>
      <w:r w:rsidR="0020684F">
        <w:t>ity systems will be wearable</w:t>
      </w:r>
      <w:r w:rsidRPr="00F3545F">
        <w:t xml:space="preserve">. </w:t>
      </w:r>
      <w:r w:rsidR="0020684F">
        <w:t xml:space="preserve">. . . </w:t>
      </w:r>
      <w:r w:rsidRPr="00F3545F">
        <w:t>However, a system does not need to be wearable to technical</w:t>
      </w:r>
      <w:r w:rsidR="00636EC9">
        <w:t>ly be considered an AR system.</w:t>
      </w:r>
      <w:r w:rsidRPr="00F3545F">
        <w:t>”</w:t>
      </w:r>
      <w:commentRangeEnd w:id="16"/>
      <w:r w:rsidR="00636EC9">
        <w:rPr>
          <w:rStyle w:val="Kommentarzeichen"/>
          <w:lang w:val="de-DE"/>
        </w:rPr>
        <w:commentReference w:id="16"/>
      </w:r>
      <w:r w:rsidR="00232539" w:rsidRPr="00F3545F">
        <w:t xml:space="preserve"> </w:t>
      </w:r>
    </w:p>
    <w:p w:rsidR="00232539" w:rsidRPr="00F3545F" w:rsidRDefault="00232539" w:rsidP="005248B8">
      <w:pPr>
        <w:pStyle w:val="StandardErstzeileneinzug"/>
      </w:pPr>
      <w:r w:rsidRPr="00F3545F">
        <w:lastRenderedPageBreak/>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 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42A60">
      <w:pPr>
        <w:pStyle w:val="StandardErstzeileneinzug"/>
      </w:pPr>
      <w:r w:rsidRPr="00F3545F">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types of displays such as hand-held and wrist-worn ones have also been used </w:t>
      </w:r>
      <w:r w:rsidR="00515478"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most notably smartphones (see section 2.1.3 for various examples).</w:t>
      </w:r>
    </w:p>
    <w:p w:rsidR="00C4539F" w:rsidRPr="00F3545F" w:rsidRDefault="00C4539F" w:rsidP="00C4539F">
      <w:pPr>
        <w:pStyle w:val="berschrift3"/>
        <w:rPr>
          <w:lang w:val="en-US"/>
        </w:rPr>
      </w:pPr>
      <w:bookmarkStart w:id="17" w:name="_Toc471154319"/>
      <w:r w:rsidRPr="00F3545F">
        <w:rPr>
          <w:lang w:val="en-US"/>
        </w:rPr>
        <w:t>Applications</w:t>
      </w:r>
      <w:bookmarkEnd w:id="17"/>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w:t>
      </w:r>
      <w:r w:rsidRPr="00F3545F">
        <w:rPr>
          <w:lang w:val="en-US"/>
        </w:rPr>
        <w:lastRenderedPageBreak/>
        <w:t xml:space="preserve">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8" w:name="_Toc471154320"/>
      <w:r w:rsidRPr="00F3545F">
        <w:rPr>
          <w:lang w:val="en-US"/>
        </w:rPr>
        <w:t>Commercial</w:t>
      </w:r>
      <w:bookmarkEnd w:id="18"/>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19" w:name="_Toc471154321"/>
      <w:r w:rsidRPr="00F3545F">
        <w:rPr>
          <w:lang w:val="en-US"/>
        </w:rPr>
        <w:lastRenderedPageBreak/>
        <w:t>Education and expertise transfer</w:t>
      </w:r>
      <w:bookmarkEnd w:id="19"/>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 along with “t</w:t>
      </w:r>
      <w:r w:rsidR="00102F43" w:rsidRPr="00F3545F">
        <w:rPr>
          <w:lang w:val="en-US"/>
        </w:rPr>
        <w:t xml:space="preserve">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lastRenderedPageBreak/>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3A5678"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3A5678" w:rsidRPr="00F3545F">
        <w:rPr>
          <w:noProof/>
        </w:rPr>
        <w:t>(Schmitz, Specht, &amp; Klemke, 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3A5678"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3A5678" w:rsidRPr="00F3545F">
        <w:rPr>
          <w:noProof/>
        </w:rPr>
        <w:t>(Dunleavy, 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p>
    <w:p w:rsidR="00C4539F" w:rsidRPr="00F3545F" w:rsidRDefault="00C4539F" w:rsidP="00C4539F">
      <w:pPr>
        <w:pStyle w:val="berschrift4"/>
        <w:rPr>
          <w:lang w:val="en-US"/>
        </w:rPr>
      </w:pPr>
      <w:bookmarkStart w:id="20" w:name="_Toc471154322"/>
      <w:r w:rsidRPr="00F3545F">
        <w:rPr>
          <w:lang w:val="en-US"/>
        </w:rPr>
        <w:t>Augmented reality games</w:t>
      </w:r>
      <w:bookmarkEnd w:id="20"/>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4E1639">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DC66CB" w:rsidRPr="00F3545F">
        <w:rPr>
          <w:lang w:val="en-US"/>
        </w:rPr>
        <w:fldChar w:fldCharType="end"/>
      </w:r>
      <w:r w:rsidR="00DC66CB" w:rsidRPr="00F3545F">
        <w:rPr>
          <w:lang w:val="en-US"/>
        </w:rPr>
        <w:t xml:space="preserve"> to go back as far as 2003’s </w:t>
      </w:r>
      <w:commentRangeStart w:id="21"/>
      <w:r w:rsidR="00DC66CB" w:rsidRPr="00F3545F">
        <w:rPr>
          <w:lang w:val="en-US"/>
        </w:rPr>
        <w:t>EyeToy</w:t>
      </w:r>
      <w:commentRangeEnd w:id="21"/>
      <w:r w:rsidR="00DC66CB" w:rsidRPr="00F3545F">
        <w:rPr>
          <w:rStyle w:val="Kommentarzeichen"/>
          <w:lang w:val="en-US"/>
        </w:rPr>
        <w:commentReference w:id="21"/>
      </w:r>
      <w:r w:rsidR="00DC66CB" w:rsidRPr="00F3545F">
        <w:rPr>
          <w:lang w:val="en-US"/>
        </w:rPr>
        <w:t xml:space="preserve">, </w:t>
      </w:r>
      <w:commentRangeStart w:id="22"/>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commentRangeEnd w:id="22"/>
      <w:r w:rsidR="000509AF" w:rsidRPr="00F3545F">
        <w:rPr>
          <w:rStyle w:val="Kommentarzeichen"/>
          <w:lang w:val="en-US"/>
        </w:rPr>
        <w:commentReference w:id="22"/>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xml:space="preserve">, though according to Wetzel knowledge about how to best approach the design of AR games was still </w:t>
      </w:r>
      <w:r w:rsidR="000509AF" w:rsidRPr="00F3545F">
        <w:rPr>
          <w:lang w:val="en-US"/>
        </w:rPr>
        <w:lastRenderedPageBreak/>
        <w:t xml:space="preserve">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w:t>
      </w:r>
      <w:commentRangeStart w:id="23"/>
      <w:r w:rsidR="00EF62C5" w:rsidRPr="00F3545F">
        <w:t>landmarks</w:t>
      </w:r>
      <w:commentRangeEnd w:id="23"/>
      <w:r w:rsidR="00D677EA" w:rsidRPr="00F3545F">
        <w:rPr>
          <w:rStyle w:val="Kommentarzeichen"/>
        </w:rPr>
        <w:commentReference w:id="23"/>
      </w:r>
      <w:r w:rsidR="00EF62C5" w:rsidRPr="00F3545F">
        <w:t>.</w:t>
      </w:r>
      <w:r w:rsidR="00C42F11" w:rsidRPr="00F3545F">
        <w:t xml:space="preserve"> </w:t>
      </w:r>
      <w:r w:rsidR="00D677EA" w:rsidRPr="00F3545F">
        <w:t xml:space="preserve">Most recently, </w:t>
      </w:r>
      <w:commentRangeStart w:id="24"/>
      <w:r w:rsidR="00D677EA" w:rsidRPr="00F3545F">
        <w:t>Pokémon GO</w:t>
      </w:r>
      <w:commentRangeEnd w:id="24"/>
      <w:r w:rsidR="00D677EA" w:rsidRPr="00F3545F">
        <w:rPr>
          <w:rStyle w:val="Kommentarzeichen"/>
        </w:rPr>
        <w:commentReference w:id="24"/>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commentRangeStart w:id="25"/>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26"/>
      <w:r w:rsidR="008076E8" w:rsidRPr="00F3545F">
        <w:t>play</w:t>
      </w:r>
      <w:commentRangeEnd w:id="26"/>
      <w:r w:rsidR="008076E8" w:rsidRPr="00F3545F">
        <w:rPr>
          <w:rStyle w:val="Kommentarzeichen"/>
        </w:rPr>
        <w:commentReference w:id="26"/>
      </w:r>
      <w:r w:rsidR="008076E8" w:rsidRPr="00F3545F">
        <w:t>.”</w:t>
      </w:r>
      <w:commentRangeEnd w:id="25"/>
      <w:r w:rsidR="00636EC9">
        <w:rPr>
          <w:rStyle w:val="Kommentarzeichen"/>
          <w:lang w:val="de-DE"/>
        </w:rPr>
        <w:commentReference w:id="25"/>
      </w:r>
    </w:p>
    <w:p w:rsidR="00C4539F" w:rsidRPr="00F3545F" w:rsidRDefault="00C4539F" w:rsidP="00C4539F">
      <w:pPr>
        <w:pStyle w:val="berschrift3"/>
        <w:rPr>
          <w:lang w:val="en-US"/>
        </w:rPr>
      </w:pPr>
      <w:bookmarkStart w:id="27" w:name="_Toc471154323"/>
      <w:r w:rsidRPr="00F3545F">
        <w:rPr>
          <w:lang w:val="en-US"/>
        </w:rPr>
        <w:t>Outlook</w:t>
      </w:r>
      <w:bookmarkEnd w:id="27"/>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8" w:name="_Toc471154324"/>
      <w:r w:rsidRPr="00F3545F">
        <w:rPr>
          <w:lang w:val="en-US"/>
        </w:rPr>
        <w:t>Possibilities</w:t>
      </w:r>
      <w:bookmarkEnd w:id="28"/>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w:t>
      </w:r>
      <w:proofErr w:type="spellStart"/>
      <w:r w:rsidR="00E244E3" w:rsidRPr="00F3545F">
        <w:rPr>
          <w:noProof/>
        </w:rPr>
        <w:t>Radu</w:t>
      </w:r>
      <w:proofErr w:type="spellEnd"/>
      <w:r w:rsidR="00E244E3" w:rsidRPr="00F3545F">
        <w:rPr>
          <w:noProof/>
        </w:rPr>
        <w:t>, 2014)</w:t>
      </w:r>
      <w:r w:rsidR="00E244E3" w:rsidRPr="00F3545F">
        <w:fldChar w:fldCharType="end"/>
      </w:r>
      <w:r w:rsidR="00F13627">
        <w:t>: “U</w:t>
      </w:r>
      <w:r w:rsidR="00E244E3" w:rsidRPr="00F3545F">
        <w:t>sers report feeling 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657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19360B" w:rsidRPr="00F3545F">
        <w:rPr>
          <w:noProof/>
        </w:rPr>
        <w:t>(Schmitz et al., 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 xml:space="preserve">“Students feel ‘personally embodied’ in the game. Their actions in the game are intrinsically </w:t>
      </w:r>
      <w:r w:rsidR="00865790" w:rsidRPr="00F3545F">
        <w:lastRenderedPageBreak/>
        <w:t>motivated (Rosenbaum et al., 2006). Learners are attentive (Wijers et al., 2010). Students are mentally ready for learning (Schwabe and Göth, 2005).”</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29" w:name="_Toc471154325"/>
      <w:r w:rsidRPr="00F3545F">
        <w:rPr>
          <w:lang w:val="en-US"/>
        </w:rPr>
        <w:t>Limitations</w:t>
      </w:r>
      <w:bookmarkEnd w:id="29"/>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w:t>
      </w:r>
      <w:proofErr w:type="gramStart"/>
      <w:r w:rsidR="00245051" w:rsidRPr="00F3545F">
        <w:t>displays ,</w:t>
      </w:r>
      <w:proofErr w:type="gramEnd"/>
      <w:r w:rsidR="00245051" w:rsidRPr="00F3545F">
        <w:t xml:space="preserve">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w:t>
      </w:r>
      <w:r w:rsidR="0099105F" w:rsidRPr="00F3545F">
        <w:lastRenderedPageBreak/>
        <w:t xml:space="preserve">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lastRenderedPageBreak/>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lastRenderedPageBreak/>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30" w:name="_Toc471154326"/>
      <w:r w:rsidRPr="00F3545F">
        <w:rPr>
          <w:lang w:val="en-US"/>
        </w:rPr>
        <w:t>Sensors</w:t>
      </w:r>
      <w:bookmarkEnd w:id="30"/>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31" w:name="_Toc471154327"/>
      <w:r w:rsidRPr="00F3545F">
        <w:rPr>
          <w:lang w:val="en-US"/>
        </w:rPr>
        <w:lastRenderedPageBreak/>
        <w:t>Sensors in games</w:t>
      </w:r>
      <w:bookmarkEnd w:id="31"/>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w:t>
      </w:r>
      <w:commentRangeStart w:id="32"/>
      <w:r w:rsidR="0060705F" w:rsidRPr="00F3545F">
        <w:t>biofeedback games</w:t>
      </w:r>
      <w:commentRangeEnd w:id="32"/>
      <w:r w:rsidR="0060705F" w:rsidRPr="00F3545F">
        <w:rPr>
          <w:rStyle w:val="Kommentarzeichen"/>
        </w:rPr>
        <w:commentReference w:id="32"/>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3"/>
      <w:r w:rsidR="00034046" w:rsidRPr="00F3545F">
        <w:t>work</w:t>
      </w:r>
      <w:commentRangeEnd w:id="33"/>
      <w:r w:rsidR="003D2F21" w:rsidRPr="00F3545F">
        <w:rPr>
          <w:rStyle w:val="Kommentarzeichen"/>
        </w:rPr>
        <w:commentReference w:id="33"/>
      </w:r>
      <w:r w:rsidR="00034046" w:rsidRPr="00F3545F">
        <w:t>.”</w:t>
      </w:r>
    </w:p>
    <w:p w:rsidR="00C4539F" w:rsidRPr="00F3545F" w:rsidRDefault="00C4539F" w:rsidP="00C4539F">
      <w:pPr>
        <w:pStyle w:val="berschrift3"/>
        <w:rPr>
          <w:lang w:val="en-US"/>
        </w:rPr>
      </w:pPr>
      <w:bookmarkStart w:id="34" w:name="_Toc471154328"/>
      <w:r w:rsidRPr="00F3545F">
        <w:rPr>
          <w:lang w:val="en-US"/>
        </w:rPr>
        <w:t>Sensors in augmented reality</w:t>
      </w:r>
      <w:bookmarkEnd w:id="34"/>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w:t>
      </w:r>
      <w:r w:rsidRPr="00F3545F">
        <w:lastRenderedPageBreak/>
        <w:t>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612C39"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612C39" w:rsidRPr="00F3545F">
        <w:rPr>
          <w:noProof/>
        </w:rPr>
        <w:t>(Schmitz et al., 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Pr="00F3545F">
        <w:t>.</w:t>
      </w:r>
      <w:r w:rsidR="00640C73" w:rsidRPr="00F3545F">
        <w:t xml:space="preserve"> Still, </w:t>
      </w:r>
      <w:r w:rsidR="00627150"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627150" w:rsidRPr="00F3545F">
        <w:rPr>
          <w:noProof/>
        </w:rPr>
        <w:t>(Papagiannakis et al., 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945F04" w:rsidRPr="00F3545F">
        <w:t xml:space="preserve"> </w:t>
      </w:r>
      <w:r w:rsidR="00945F04" w:rsidRPr="00F3545F">
        <w:fldChar w:fldCharType="begin" w:fldLock="1"/>
      </w:r>
      <w:r w:rsidR="00CF0E40"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945F04" w:rsidRPr="00F3545F">
        <w:rPr>
          <w:noProof/>
        </w:rPr>
        <w:t>(Bower et al., 2014)</w:t>
      </w:r>
      <w:r w:rsidR="00945F04" w:rsidRPr="00F3545F">
        <w:fldChar w:fldCharType="end"/>
      </w:r>
      <w:r w:rsidR="00945F04" w:rsidRPr="00F3545F">
        <w:t xml:space="preserve"> somewhat similarly expresses certainty that Augmented Reality (not explicitly referring to mobile AR) will come t</w:t>
      </w:r>
      <w:r w:rsidR="00636EC9">
        <w:t xml:space="preserve">o include </w:t>
      </w:r>
      <w:commentRangeStart w:id="35"/>
      <w:r w:rsidR="00636EC9">
        <w:t>“new trigger types . . .</w:t>
      </w:r>
      <w:r w:rsidR="00945F04" w:rsidRPr="00F3545F">
        <w:t>, more intell</w:t>
      </w:r>
      <w:r w:rsidR="00636EC9">
        <w:t>igent input recognition . . .</w:t>
      </w:r>
      <w:r w:rsidR="00945F04" w:rsidRPr="00F3545F">
        <w:t xml:space="preserve"> and increased sophistication of expression types.”</w:t>
      </w:r>
      <w:commentRangeEnd w:id="35"/>
      <w:r w:rsidR="00636EC9">
        <w:rPr>
          <w:rStyle w:val="Kommentarzeichen"/>
          <w:lang w:val="de-DE"/>
        </w:rPr>
        <w:commentReference w:id="35"/>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w:t>
      </w:r>
      <w:r w:rsidRPr="00F3545F">
        <w:lastRenderedPageBreak/>
        <w:t>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835820" w:rsidRPr="00F3545F">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6" w:name="_Toc471154329"/>
      <w:commentRangeStart w:id="37"/>
      <w:r w:rsidRPr="00F3545F">
        <w:rPr>
          <w:lang w:val="en-US"/>
        </w:rPr>
        <w:t>Design Patterns</w:t>
      </w:r>
      <w:commentRangeEnd w:id="37"/>
      <w:r w:rsidR="000C3723" w:rsidRPr="00F3545F">
        <w:rPr>
          <w:rStyle w:val="Kommentarzeichen"/>
          <w:rFonts w:cs="Times New Roman"/>
          <w:b w:val="0"/>
          <w:bCs w:val="0"/>
          <w:i w:val="0"/>
          <w:iCs w:val="0"/>
          <w:lang w:val="en-US"/>
        </w:rPr>
        <w:commentReference w:id="37"/>
      </w:r>
      <w:bookmarkEnd w:id="36"/>
    </w:p>
    <w:p w:rsidR="00297ADA" w:rsidRPr="00F3545F" w:rsidRDefault="00CB5743" w:rsidP="000C3723">
      <w:pPr>
        <w:rPr>
          <w:lang w:val="en-US"/>
        </w:rPr>
      </w:pPr>
      <w:commentRangeStart w:id="38"/>
      <w:r w:rsidRPr="00F3545F">
        <w:rPr>
          <w:lang w:val="en-US"/>
        </w:rPr>
        <w:t>Design</w:t>
      </w:r>
      <w:commentRangeEnd w:id="38"/>
      <w:r w:rsidR="00F123A7" w:rsidRPr="00F3545F">
        <w:rPr>
          <w:rStyle w:val="Kommentarzeichen"/>
          <w:lang w:val="en-US"/>
        </w:rPr>
        <w:commentReference w:id="38"/>
      </w:r>
      <w:r w:rsidR="00D63783">
        <w:rPr>
          <w:lang w:val="en-US"/>
        </w:rPr>
        <w:t xml:space="preserve"> p</w:t>
      </w:r>
      <w:r w:rsidRPr="00F3545F">
        <w:rPr>
          <w:lang w:val="en-US"/>
        </w:rPr>
        <w:t xml:space="preserve">atterns are a concept first proposed for use in </w:t>
      </w:r>
      <w:commentRangeStart w:id="39"/>
      <w:r w:rsidRPr="00F3545F">
        <w:rPr>
          <w:lang w:val="en-US"/>
        </w:rPr>
        <w:t>architecture</w:t>
      </w:r>
      <w:commentRangeEnd w:id="39"/>
      <w:r w:rsidRPr="00F3545F">
        <w:rPr>
          <w:rStyle w:val="Kommentarzeichen"/>
          <w:lang w:val="en-US"/>
        </w:rPr>
        <w:commentReference w:id="39"/>
      </w:r>
      <w:r w:rsidRPr="00F3545F">
        <w:rPr>
          <w:lang w:val="en-US"/>
        </w:rPr>
        <w:t xml:space="preserve">. They describe precisely how to use design techniques in order to achieve certain </w:t>
      </w:r>
      <w:r w:rsidR="00F07700" w:rsidRPr="00F3545F">
        <w:rPr>
          <w:lang w:val="en-US"/>
        </w:rPr>
        <w:t xml:space="preserve">positive </w:t>
      </w:r>
      <w:r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w:t>
      </w:r>
      <w:bookmarkStart w:id="40" w:name="_GoBack"/>
      <w:bookmarkEnd w:id="40"/>
      <w:r w:rsidR="00F07700" w:rsidRPr="00F3545F">
        <w:rPr>
          <w:lang w:val="en-US"/>
        </w:rPr>
        <w:t>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t xml:space="preserve">Since their creation, design patterns have been applied to several </w:t>
      </w:r>
      <w:commentRangeStart w:id="41"/>
      <w:r w:rsidRPr="00F3545F">
        <w:t>different fields</w:t>
      </w:r>
      <w:commentRangeEnd w:id="41"/>
      <w:r w:rsidRPr="00F3545F">
        <w:rPr>
          <w:rStyle w:val="Kommentarzeichen"/>
        </w:rPr>
        <w:commentReference w:id="41"/>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commentRangeStart w:id="42"/>
      <w:r w:rsidR="00297ADA" w:rsidRPr="00F3545F">
        <w:t>Björk and Holopainen</w:t>
      </w:r>
      <w:commentRangeEnd w:id="42"/>
      <w:r w:rsidR="00297ADA" w:rsidRPr="00F3545F">
        <w:rPr>
          <w:rStyle w:val="Kommentarzeichen"/>
        </w:rPr>
        <w:commentReference w:id="42"/>
      </w:r>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t>
      </w:r>
      <w:r w:rsidR="00C32318" w:rsidRPr="00F3545F">
        <w:lastRenderedPageBreak/>
        <w:t xml:space="preserve">“which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8D553C">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8D553C" w:rsidRDefault="003B65EE" w:rsidP="003B65EE">
      <w:pPr>
        <w:pStyle w:val="StandardErstzeileneinzug"/>
      </w:pPr>
      <w:r w:rsidRPr="00F3545F">
        <w:fldChar w:fldCharType="begin" w:fldLock="1"/>
      </w:r>
      <w:r w:rsidRPr="008D553C">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8D553C">
        <w:rPr>
          <w:noProof/>
        </w:rPr>
        <w:t>(McGee, 2007)</w:t>
      </w:r>
      <w:r w:rsidRPr="00F3545F">
        <w:fldChar w:fldCharType="end"/>
      </w:r>
      <w:r w:rsidRPr="008D553C">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43" w:name="_Toc471154330"/>
      <w:r w:rsidRPr="00F3545F">
        <w:rPr>
          <w:lang w:val="en-US"/>
        </w:rPr>
        <w:t>Patterns for Games</w:t>
      </w:r>
      <w:bookmarkEnd w:id="43"/>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44"/>
      <w:r w:rsidR="00480CEE" w:rsidRPr="00F3545F">
        <w:t>Björk &amp; Holopainen</w:t>
      </w:r>
      <w:commentRangeEnd w:id="44"/>
      <w:r w:rsidR="00480CEE" w:rsidRPr="00F3545F">
        <w:rPr>
          <w:rStyle w:val="Kommentarzeichen"/>
        </w:rPr>
        <w:commentReference w:id="44"/>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45"/>
      <w:r w:rsidR="00414A59" w:rsidRPr="00F3545F">
        <w:t>consequences</w:t>
      </w:r>
      <w:commentRangeEnd w:id="45"/>
      <w:r w:rsidR="00414A59" w:rsidRPr="00F3545F">
        <w:rPr>
          <w:rStyle w:val="Kommentarzeichen"/>
        </w:rPr>
        <w:commentReference w:id="45"/>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xml:space="preserve">. In the </w:t>
      </w:r>
      <w:commentRangeStart w:id="46"/>
      <w:r w:rsidRPr="00F3545F">
        <w:t xml:space="preserve">Game Ontology Project, </w:t>
      </w:r>
      <w:commentRangeEnd w:id="46"/>
      <w:r w:rsidRPr="00F3545F">
        <w:rPr>
          <w:rStyle w:val="Kommentarzeichen"/>
        </w:rPr>
        <w:commentReference w:id="46"/>
      </w:r>
      <w:r w:rsidRPr="00F3545F">
        <w:t>they set out to cr</w:t>
      </w:r>
      <w:r w:rsidR="002231FE" w:rsidRPr="00F3545F">
        <w:t>eate an alternative way to describe, analyze and study</w:t>
      </w:r>
      <w:r w:rsidRPr="00F3545F">
        <w:t xml:space="preserve"> games</w:t>
      </w:r>
      <w:r w:rsidR="002231FE" w:rsidRPr="00F3545F">
        <w:t xml:space="preserve">, with </w:t>
      </w:r>
      <w:r w:rsidR="002231FE" w:rsidRPr="00F3545F">
        <w:lastRenderedPageBreak/>
        <w:t xml:space="preserve">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47" w:name="_Toc471154331"/>
      <w:r w:rsidRPr="00F3545F">
        <w:rPr>
          <w:lang w:val="en-US"/>
        </w:rPr>
        <w:t>Patterns for Augmented Reality and Augmented Reality Games</w:t>
      </w:r>
      <w:bookmarkEnd w:id="47"/>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less formal interaction patterns; nonetheless they still provide valuable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8C1B91">
        <w:t>“</w:t>
      </w:r>
      <w:r w:rsidR="00465359" w:rsidRPr="00F3545F">
        <w:t>Point Of Interest</w:t>
      </w:r>
      <w:r w:rsidR="008C1B91">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commentRangeStart w:id="48"/>
      <w:r w:rsidR="00131E1E" w:rsidRPr="00F3545F">
        <w:t>It is likely that many commercial Augmented Reality games will rely on this interaction pattern, especially if they are not location-based.</w:t>
      </w:r>
      <w:commentRangeEnd w:id="48"/>
      <w:r w:rsidR="00114A9E" w:rsidRPr="00F3545F">
        <w:rPr>
          <w:rStyle w:val="Kommentarzeichen"/>
        </w:rPr>
        <w:commentReference w:id="48"/>
      </w:r>
      <w:r w:rsidR="00114A9E" w:rsidRPr="00F3545F">
        <w:t xml:space="preserve"> 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lastRenderedPageBreak/>
        <w:fldChar w:fldCharType="begin" w:fldLock="1"/>
      </w:r>
      <w:r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7520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also investigated the effects of the pattern Roleplaying, stating that it “seems to be highly relevant for the design of AR learning games.” </w:t>
      </w:r>
    </w:p>
    <w:p w:rsidR="00F123A7" w:rsidRPr="00F3545F" w:rsidRDefault="00752090" w:rsidP="00BE3825">
      <w:pPr>
        <w:pStyle w:val="StandardErstzeileneinzug"/>
      </w:pPr>
      <w:r w:rsidRPr="00F3545F">
        <w:fldChar w:fldCharType="begin" w:fldLock="1"/>
      </w:r>
      <w:r w:rsidR="00F123A7"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are the patterns for mobile mixed reality games proposed by </w:t>
      </w:r>
      <w:r w:rsidRPr="00F3545F">
        <w:fldChar w:fldCharType="begin" w:fldLock="1"/>
      </w:r>
      <w:r w:rsidR="003E2F43"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Wetzel stresses that these patterns </w:t>
      </w:r>
      <w:r w:rsidR="003E2F43" w:rsidRPr="00F3545F">
        <w:t>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AE4AE1" w:rsidRPr="00F3545F" w:rsidRDefault="003E2F43" w:rsidP="00BE3825">
      <w:pPr>
        <w:pStyle w:val="StandardErstzeileneinzug"/>
      </w:pPr>
      <w:r w:rsidRPr="00F3545F">
        <w:t xml:space="preserve">Although they did not use the term pattern,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already treaded similar ground with their </w:t>
      </w:r>
      <w:r w:rsidR="009303FF" w:rsidRPr="00F3545F">
        <w:rPr>
          <w:i/>
        </w:rPr>
        <w:t>G</w:t>
      </w:r>
      <w:r w:rsidRPr="00F3545F">
        <w:rPr>
          <w:i/>
        </w:rPr>
        <w:t xml:space="preserve">uidelines for </w:t>
      </w:r>
      <w:r w:rsidR="009303FF" w:rsidRPr="00F3545F">
        <w:rPr>
          <w:i/>
        </w:rPr>
        <w:t>D</w:t>
      </w:r>
      <w:r w:rsidRPr="00F3545F">
        <w:rPr>
          <w:i/>
        </w:rPr>
        <w:t xml:space="preserve">esigning </w:t>
      </w:r>
      <w:r w:rsidR="009303FF" w:rsidRPr="00F3545F">
        <w:rPr>
          <w:i/>
        </w:rPr>
        <w:t>Augmented Reality Games</w:t>
      </w:r>
      <w:r w:rsidR="009303FF" w:rsidRPr="00F3545F">
        <w:t xml:space="preserve">. The guidelines, discussed in more depth in the paper, are: </w:t>
      </w:r>
    </w:p>
    <w:p w:rsidR="009303FF" w:rsidRPr="00F3545F" w:rsidRDefault="009303FF" w:rsidP="00415BA3">
      <w:pPr>
        <w:pStyle w:val="StandardErstzeileneinzug"/>
        <w:numPr>
          <w:ilvl w:val="0"/>
          <w:numId w:val="33"/>
        </w:numPr>
      </w:pPr>
      <w:commentRangeStart w:id="49"/>
      <w:r w:rsidRPr="00F3545F">
        <w:t>Experiences First, Technology Second</w:t>
      </w:r>
    </w:p>
    <w:p w:rsidR="009303FF" w:rsidRPr="00F3545F" w:rsidRDefault="009303FF" w:rsidP="00415BA3">
      <w:pPr>
        <w:pStyle w:val="StandardErstzeileneinzug"/>
        <w:numPr>
          <w:ilvl w:val="0"/>
          <w:numId w:val="33"/>
        </w:numPr>
      </w:pPr>
      <w:r w:rsidRPr="00F3545F">
        <w:t>Stick to the theme</w:t>
      </w:r>
    </w:p>
    <w:p w:rsidR="009303FF" w:rsidRPr="00F3545F" w:rsidRDefault="009303FF" w:rsidP="00415BA3">
      <w:pPr>
        <w:pStyle w:val="StandardErstzeileneinzug"/>
        <w:numPr>
          <w:ilvl w:val="0"/>
          <w:numId w:val="33"/>
        </w:numPr>
      </w:pPr>
      <w:r w:rsidRPr="00F3545F">
        <w:t>Do not stay digital</w:t>
      </w:r>
    </w:p>
    <w:p w:rsidR="009303FF" w:rsidRPr="00F3545F" w:rsidRDefault="009303FF" w:rsidP="00415BA3">
      <w:pPr>
        <w:pStyle w:val="StandardErstzeileneinzug"/>
        <w:numPr>
          <w:ilvl w:val="0"/>
          <w:numId w:val="33"/>
        </w:numPr>
      </w:pPr>
      <w:r w:rsidRPr="00F3545F">
        <w:t>Use the Real Environment</w:t>
      </w:r>
    </w:p>
    <w:p w:rsidR="009303FF" w:rsidRPr="00F3545F" w:rsidRDefault="009303FF" w:rsidP="00415BA3">
      <w:pPr>
        <w:pStyle w:val="StandardErstzeileneinzug"/>
        <w:numPr>
          <w:ilvl w:val="0"/>
          <w:numId w:val="33"/>
        </w:numPr>
      </w:pPr>
      <w:r w:rsidRPr="00F3545F">
        <w:t>Keep it simple</w:t>
      </w:r>
    </w:p>
    <w:p w:rsidR="009303FF" w:rsidRPr="00F3545F" w:rsidRDefault="009303FF" w:rsidP="00415BA3">
      <w:pPr>
        <w:pStyle w:val="StandardErstzeileneinzug"/>
        <w:numPr>
          <w:ilvl w:val="0"/>
          <w:numId w:val="33"/>
        </w:numPr>
      </w:pPr>
      <w:r w:rsidRPr="00F3545F">
        <w:t>Create Sharable Experiences</w:t>
      </w:r>
    </w:p>
    <w:p w:rsidR="009303FF" w:rsidRPr="00F3545F" w:rsidRDefault="009303FF" w:rsidP="00415BA3">
      <w:pPr>
        <w:pStyle w:val="StandardErstzeileneinzug"/>
        <w:numPr>
          <w:ilvl w:val="0"/>
          <w:numId w:val="33"/>
        </w:numPr>
      </w:pPr>
      <w:r w:rsidRPr="00F3545F">
        <w:t>Use Various Social Elements</w:t>
      </w:r>
    </w:p>
    <w:p w:rsidR="009303FF" w:rsidRPr="00F3545F" w:rsidRDefault="009303FF" w:rsidP="00415BA3">
      <w:pPr>
        <w:pStyle w:val="StandardErstzeileneinzug"/>
        <w:numPr>
          <w:ilvl w:val="0"/>
          <w:numId w:val="33"/>
        </w:numPr>
      </w:pPr>
      <w:r w:rsidRPr="00F3545F">
        <w:t>Show Reality</w:t>
      </w:r>
    </w:p>
    <w:p w:rsidR="009303FF" w:rsidRPr="00F3545F" w:rsidRDefault="009303FF" w:rsidP="00415BA3">
      <w:pPr>
        <w:pStyle w:val="StandardErstzeileneinzug"/>
        <w:numPr>
          <w:ilvl w:val="0"/>
          <w:numId w:val="33"/>
        </w:numPr>
      </w:pPr>
      <w:r w:rsidRPr="00F3545F">
        <w:t>Turn weaknesses into strengths</w:t>
      </w:r>
    </w:p>
    <w:p w:rsidR="009303FF" w:rsidRPr="00F3545F" w:rsidRDefault="009303FF" w:rsidP="00415BA3">
      <w:pPr>
        <w:pStyle w:val="StandardErstzeileneinzug"/>
        <w:numPr>
          <w:ilvl w:val="0"/>
          <w:numId w:val="33"/>
        </w:numPr>
      </w:pPr>
      <w:r w:rsidRPr="00F3545F">
        <w:t>Do not just convert</w:t>
      </w:r>
    </w:p>
    <w:p w:rsidR="009303FF" w:rsidRPr="00F3545F" w:rsidRDefault="009303FF" w:rsidP="00415BA3">
      <w:pPr>
        <w:pStyle w:val="StandardErstzeileneinzug"/>
        <w:numPr>
          <w:ilvl w:val="0"/>
          <w:numId w:val="33"/>
        </w:numPr>
      </w:pPr>
      <w:r w:rsidRPr="00F3545F">
        <w:t>Create meaningful content</w:t>
      </w:r>
    </w:p>
    <w:p w:rsidR="009303FF" w:rsidRDefault="009303FF" w:rsidP="00415BA3">
      <w:pPr>
        <w:pStyle w:val="StandardErstzeileneinzug"/>
        <w:numPr>
          <w:ilvl w:val="0"/>
          <w:numId w:val="33"/>
        </w:numPr>
      </w:pPr>
      <w:r w:rsidRPr="00F3545F">
        <w:lastRenderedPageBreak/>
        <w:t>Choose your tracking wisely</w:t>
      </w:r>
      <w:commentRangeEnd w:id="49"/>
      <w:r w:rsidR="004128BE">
        <w:rPr>
          <w:rStyle w:val="Kommentarzeichen"/>
          <w:lang w:val="de-DE"/>
        </w:rPr>
        <w:commentReference w:id="49"/>
      </w:r>
    </w:p>
    <w:p w:rsidR="004128BE" w:rsidRDefault="004128BE" w:rsidP="004128BE">
      <w:pPr>
        <w:pStyle w:val="berschrift2"/>
      </w:pPr>
      <w:bookmarkStart w:id="50" w:name="_Toc471154332"/>
      <w:proofErr w:type="spellStart"/>
      <w:r>
        <w:t>Conclusion</w:t>
      </w:r>
      <w:bookmarkEnd w:id="50"/>
      <w:proofErr w:type="spellEnd"/>
    </w:p>
    <w:p w:rsidR="004128BE" w:rsidRP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C4539F" w:rsidRPr="00F3545F" w:rsidRDefault="00C4539F" w:rsidP="00415BA3">
      <w:pPr>
        <w:pStyle w:val="berschrift1"/>
        <w:rPr>
          <w:lang w:val="en-US"/>
        </w:rPr>
      </w:pPr>
      <w:bookmarkStart w:id="51" w:name="_Toc471154333"/>
      <w:r w:rsidRPr="00F3545F">
        <w:rPr>
          <w:lang w:val="en-US"/>
        </w:rPr>
        <w:t>Development of a framework for sensor-supported augmented reality games</w:t>
      </w:r>
      <w:bookmarkEnd w:id="51"/>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52" w:name="_Toc471154334"/>
      <w:r w:rsidRPr="00F3545F">
        <w:rPr>
          <w:lang w:val="en-US"/>
        </w:rPr>
        <w:t>Conception</w:t>
      </w:r>
      <w:bookmarkEnd w:id="52"/>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lastRenderedPageBreak/>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515F69" w:rsidRPr="00F3545F" w:rsidRDefault="00C60081" w:rsidP="00FE2EEE">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53"/>
      <w:r w:rsidRPr="00F3545F">
        <w:t xml:space="preserve">such as gaze, voice, or hand gestures </w:t>
      </w:r>
      <w:commentRangeEnd w:id="53"/>
      <w:r w:rsidRPr="00F3545F">
        <w:rPr>
          <w:rStyle w:val="Kommentarzeichen"/>
        </w:rPr>
        <w:commentReference w:id="53"/>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A23FCF" w:rsidRDefault="00A23FCF" w:rsidP="003A5245">
      <w:pPr>
        <w:pStyle w:val="StandardErstzeileneinzug"/>
        <w:ind w:firstLine="0"/>
      </w:pPr>
    </w:p>
    <w:p w:rsidR="00415BA3" w:rsidRPr="00F3545F" w:rsidRDefault="00415BA3" w:rsidP="003A5245">
      <w:pPr>
        <w:pStyle w:val="StandardErstzeileneinzug"/>
        <w:ind w:firstLine="0"/>
      </w:pPr>
    </w:p>
    <w:p w:rsidR="00C859C5" w:rsidRPr="00F3545F" w:rsidRDefault="00C859C5" w:rsidP="00C859C5">
      <w:pPr>
        <w:pStyle w:val="StandardErstzeileneinzug"/>
        <w:numPr>
          <w:ilvl w:val="0"/>
          <w:numId w:val="4"/>
        </w:numPr>
      </w:pPr>
      <w:r w:rsidRPr="00F3545F">
        <w:t>Hier auch (Ibid): “In the design of a system recombining the various different sensors identified above (all using different data rates and different standards for storage and communication), several notable challenges arise:</w:t>
      </w:r>
    </w:p>
    <w:p w:rsidR="00C859C5" w:rsidRPr="00F3545F" w:rsidRDefault="00C859C5" w:rsidP="00C859C5">
      <w:pPr>
        <w:pStyle w:val="StandardErstzeileneinzug"/>
        <w:numPr>
          <w:ilvl w:val="1"/>
          <w:numId w:val="5"/>
        </w:numPr>
      </w:pPr>
      <w:r w:rsidRPr="00F3545F">
        <w:t>Compatibility and support of Unity development engine across different hardware sensors</w:t>
      </w:r>
    </w:p>
    <w:p w:rsidR="00C859C5" w:rsidRPr="00F3545F" w:rsidRDefault="00C859C5" w:rsidP="00C859C5">
      <w:pPr>
        <w:pStyle w:val="StandardErstzeileneinzug"/>
        <w:numPr>
          <w:ilvl w:val="1"/>
          <w:numId w:val="5"/>
        </w:numPr>
      </w:pPr>
      <w:r w:rsidRPr="00F3545F">
        <w:t>Support of sensors across different operating systems and programming platforms</w:t>
      </w:r>
    </w:p>
    <w:p w:rsidR="00C859C5" w:rsidRPr="00F3545F" w:rsidRDefault="00C859C5" w:rsidP="00C859C5">
      <w:pPr>
        <w:pStyle w:val="StandardErstzeileneinzug"/>
        <w:numPr>
          <w:ilvl w:val="1"/>
          <w:numId w:val="5"/>
        </w:numPr>
      </w:pPr>
      <w:r w:rsidRPr="00F3545F">
        <w:t>Compatibility of the different hardware drivers associated with the sensors.</w:t>
      </w:r>
    </w:p>
    <w:p w:rsidR="00C859C5" w:rsidRPr="00F3545F" w:rsidRDefault="00C859C5" w:rsidP="00C859C5">
      <w:pPr>
        <w:pStyle w:val="StandardErstzeileneinzug"/>
        <w:numPr>
          <w:ilvl w:val="1"/>
          <w:numId w:val="5"/>
        </w:numPr>
      </w:pPr>
      <w:r w:rsidRPr="00F3545F">
        <w:t>Interference due to, e.g., noise generated by sensors.</w:t>
      </w:r>
    </w:p>
    <w:p w:rsidR="00C859C5" w:rsidRPr="00F3545F" w:rsidRDefault="00C859C5" w:rsidP="00C859C5">
      <w:pPr>
        <w:pStyle w:val="StandardErstzeileneinzug"/>
        <w:numPr>
          <w:ilvl w:val="1"/>
          <w:numId w:val="5"/>
        </w:numPr>
      </w:pPr>
      <w:r w:rsidRPr="00F3545F">
        <w:t>Local and efficient storage of raw and processed data of the various sensors.</w:t>
      </w:r>
    </w:p>
    <w:p w:rsidR="00C859C5" w:rsidRPr="00F3545F" w:rsidRDefault="00C859C5" w:rsidP="00C859C5">
      <w:pPr>
        <w:pStyle w:val="StandardErstzeileneinzug"/>
        <w:numPr>
          <w:ilvl w:val="1"/>
          <w:numId w:val="5"/>
        </w:numPr>
      </w:pPr>
      <w:r w:rsidRPr="00F3545F">
        <w:t>Synchronization of data owing to different data rates of the sensors (e.g., EEG, Augmented reality glasses, microphone).</w:t>
      </w:r>
    </w:p>
    <w:p w:rsidR="00C859C5" w:rsidRPr="00F3545F" w:rsidRDefault="00C859C5" w:rsidP="00C859C5">
      <w:pPr>
        <w:pStyle w:val="StandardErstzeileneinzug"/>
        <w:numPr>
          <w:ilvl w:val="1"/>
          <w:numId w:val="5"/>
        </w:numPr>
      </w:pPr>
      <w:r w:rsidRPr="00F3545F">
        <w:t>Compatibility of the communication standards and protocols (for instance, Bluetooth, and WiFi) and their data transmission range.</w:t>
      </w:r>
    </w:p>
    <w:p w:rsidR="00C859C5" w:rsidRPr="00F3545F" w:rsidRDefault="00C859C5" w:rsidP="00C859C5">
      <w:pPr>
        <w:pStyle w:val="StandardErstzeileneinzug"/>
        <w:numPr>
          <w:ilvl w:val="1"/>
          <w:numId w:val="5"/>
        </w:numPr>
      </w:pPr>
      <w:r w:rsidRPr="00F3545F">
        <w:t>The computational complexity and processing load needed for processing the data associated with different sensors.</w:t>
      </w:r>
    </w:p>
    <w:p w:rsidR="00C859C5" w:rsidRPr="00F3545F" w:rsidRDefault="00C859C5" w:rsidP="00C859C5">
      <w:pPr>
        <w:pStyle w:val="StandardErstzeileneinzug"/>
        <w:numPr>
          <w:ilvl w:val="1"/>
          <w:numId w:val="5"/>
        </w:numPr>
      </w:pPr>
      <w:r w:rsidRPr="00F3545F">
        <w:lastRenderedPageBreak/>
        <w:t>Design of the WEKIT capturing system that integrates all the sensor hardware as a wearable system.”</w:t>
      </w:r>
    </w:p>
    <w:p w:rsidR="00FE68DC" w:rsidRPr="00F3545F" w:rsidRDefault="00FE68DC" w:rsidP="00415BA3">
      <w:pPr>
        <w:pStyle w:val="berschrift1"/>
        <w:rPr>
          <w:lang w:val="en-US"/>
        </w:rPr>
      </w:pPr>
      <w:bookmarkStart w:id="54" w:name="_Toc471154335"/>
      <w:r w:rsidRPr="00F3545F">
        <w:rPr>
          <w:lang w:val="en-US"/>
        </w:rPr>
        <w:t>References</w:t>
      </w:r>
      <w:bookmarkEnd w:id="54"/>
    </w:p>
    <w:p w:rsidR="001102FA" w:rsidRPr="001102FA" w:rsidRDefault="006B7192" w:rsidP="001102FA">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1102FA" w:rsidRPr="001102FA">
        <w:rPr>
          <w:noProof/>
          <w:szCs w:val="24"/>
        </w:rPr>
        <w:t xml:space="preserve">Antonaci, A., Klemke, R., &amp; Specht, M. (2015). Towards Design Patterns for Augmented Reality Serious Games. In </w:t>
      </w:r>
      <w:r w:rsidR="001102FA" w:rsidRPr="001102FA">
        <w:rPr>
          <w:i/>
          <w:iCs/>
          <w:noProof/>
          <w:szCs w:val="24"/>
        </w:rPr>
        <w:t>The Mobile Learning Voyage - From Small Ripples to Massive Open Waters</w:t>
      </w:r>
      <w:r w:rsidR="001102FA" w:rsidRPr="001102FA">
        <w:rPr>
          <w:noProof/>
          <w:szCs w:val="24"/>
        </w:rPr>
        <w:t xml:space="preserve"> (pp. 273–282). https://doi.org/10.1007/978-3-319-25684-9_20</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Azuma, R. T. (1997). A Survey of Augmented Reality. </w:t>
      </w:r>
      <w:r w:rsidRPr="001102FA">
        <w:rPr>
          <w:i/>
          <w:iCs/>
          <w:noProof/>
          <w:szCs w:val="24"/>
        </w:rPr>
        <w:t>Presence: Teleoperators and Virtual Environments</w:t>
      </w:r>
      <w:r w:rsidRPr="001102FA">
        <w:rPr>
          <w:noProof/>
          <w:szCs w:val="24"/>
        </w:rPr>
        <w:t xml:space="preserve">, </w:t>
      </w:r>
      <w:r w:rsidRPr="001102FA">
        <w:rPr>
          <w:i/>
          <w:iCs/>
          <w:noProof/>
          <w:szCs w:val="24"/>
        </w:rPr>
        <w:t>6</w:t>
      </w:r>
      <w:r w:rsidRPr="001102FA">
        <w:rPr>
          <w:noProof/>
          <w:szCs w:val="24"/>
        </w:rPr>
        <w:t>(4), 355–385. Retrieved from http://www.dca.fee.unicamp.br/~leopini/DISCIPLINAS/IA369T-22014/Seminarios-entregues/Grupos-Visualização/Visualizacao-Gr-LuisPattam-paperdeapoio-1.pdf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Azuma, R. T., Baillot, Y., Behringer, R., Feiner, S., Julier, S., &amp; MacIntyre, B. (2001). Recent advances in augmented reality. </w:t>
      </w:r>
      <w:r w:rsidRPr="001102FA">
        <w:rPr>
          <w:i/>
          <w:iCs/>
          <w:noProof/>
          <w:szCs w:val="24"/>
        </w:rPr>
        <w:t>IEEE Computer Graphics and Applications</w:t>
      </w:r>
      <w:r w:rsidRPr="001102FA">
        <w:rPr>
          <w:noProof/>
          <w:szCs w:val="24"/>
        </w:rPr>
        <w:t xml:space="preserve">, </w:t>
      </w:r>
      <w:r w:rsidRPr="001102FA">
        <w:rPr>
          <w:i/>
          <w:iCs/>
          <w:noProof/>
          <w:szCs w:val="24"/>
        </w:rPr>
        <w:t>21</w:t>
      </w:r>
      <w:r w:rsidRPr="001102FA">
        <w:rPr>
          <w:noProof/>
          <w:szCs w:val="24"/>
        </w:rPr>
        <w:t>(6), 34–47. https://doi.org/10.4061/2011/908468</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Bauer, S., Wasza, J., Haase, S., Marosi, N., &amp; Hornegger, J. (2011). Multi-modal Surface Registration for Markerless Initial Patient Setup in Radiation Therapy using Microsoft’s Kinect Sensor. In </w:t>
      </w:r>
      <w:r w:rsidRPr="001102FA">
        <w:rPr>
          <w:i/>
          <w:iCs/>
          <w:noProof/>
          <w:szCs w:val="24"/>
        </w:rPr>
        <w:t>Proc. IEEE Workshop on Consumer Depth Cameras for Computer Vision (CDC4CV)</w:t>
      </w:r>
      <w:r w:rsidRPr="001102FA">
        <w:rPr>
          <w:noProof/>
          <w:szCs w:val="24"/>
        </w:rPr>
        <w:t xml:space="preserve"> (pp. 1175–1181). IEEE Press. Retrieved from http://www5.informatik.uni-erlangen.de/Forschung/Publikationen/2011/Bauer11-MSR.pdf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Benko, H., Holz, C., Sinclair, M., &amp; Ofek, E. (2016). NormalTouch and TextureTouch : High-fidelity 3D Haptic Shape Rendering on Handheld Virtual Reality Controllers. In </w:t>
      </w:r>
      <w:r w:rsidRPr="001102FA">
        <w:rPr>
          <w:i/>
          <w:iCs/>
          <w:noProof/>
          <w:szCs w:val="24"/>
        </w:rPr>
        <w:t>Proceedings of the 29th Annual Symposium on User Interface Software and Technology</w:t>
      </w:r>
      <w:r w:rsidRPr="001102FA">
        <w:rPr>
          <w:noProof/>
          <w:szCs w:val="24"/>
        </w:rPr>
        <w:t xml:space="preserve"> (pp. 717–728). ACM. https://doi.org/10.1145/2984511.2984526</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Biocca, F. A., &amp; Rolland, J. P. (1998). Virtual Eyes Can Rearrange Your Body: Adaptation to Visual Displacement in See-Through, Head-Mounted Displays. </w:t>
      </w:r>
      <w:r w:rsidRPr="001102FA">
        <w:rPr>
          <w:i/>
          <w:iCs/>
          <w:noProof/>
          <w:szCs w:val="24"/>
        </w:rPr>
        <w:t>Presence: Teleoperators and Virtual Environments</w:t>
      </w:r>
      <w:r w:rsidRPr="001102FA">
        <w:rPr>
          <w:noProof/>
          <w:szCs w:val="24"/>
        </w:rPr>
        <w:t xml:space="preserve">, </w:t>
      </w:r>
      <w:r w:rsidRPr="001102FA">
        <w:rPr>
          <w:i/>
          <w:iCs/>
          <w:noProof/>
          <w:szCs w:val="24"/>
        </w:rPr>
        <w:t>7</w:t>
      </w:r>
      <w:r w:rsidRPr="001102FA">
        <w:rPr>
          <w:noProof/>
          <w:szCs w:val="24"/>
        </w:rPr>
        <w:t>(3), 262–277. Retrieved from http://citeseerx.ist.psu.edu/viewdoc/download?doi=10.1.1.541.8417&amp;rep=rep1&amp;type=pdf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Borchers, J. O. (2001). A Pattern Approach to Interaction Design. </w:t>
      </w:r>
      <w:r w:rsidRPr="001102FA">
        <w:rPr>
          <w:i/>
          <w:iCs/>
          <w:noProof/>
          <w:szCs w:val="24"/>
        </w:rPr>
        <w:t>AI &amp; Society</w:t>
      </w:r>
      <w:r w:rsidRPr="001102FA">
        <w:rPr>
          <w:noProof/>
          <w:szCs w:val="24"/>
        </w:rPr>
        <w:t xml:space="preserve">, </w:t>
      </w:r>
      <w:r w:rsidRPr="001102FA">
        <w:rPr>
          <w:i/>
          <w:iCs/>
          <w:noProof/>
          <w:szCs w:val="24"/>
        </w:rPr>
        <w:t>15</w:t>
      </w:r>
      <w:r w:rsidRPr="001102FA">
        <w:rPr>
          <w:noProof/>
          <w:szCs w:val="24"/>
        </w:rPr>
        <w:t>(4), 359–376. Retrieved from https://guzdial.cc.gatech.edu/hci-seminar/uploads/1/BorchersInteractionPatterns.pdf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Bower, M., Howe, C., McCredie, N., Robinson, A., &amp; Grover, D. (2014). Augmented Reality </w:t>
      </w:r>
      <w:r w:rsidRPr="001102FA">
        <w:rPr>
          <w:noProof/>
          <w:szCs w:val="24"/>
        </w:rPr>
        <w:lastRenderedPageBreak/>
        <w:t xml:space="preserve">in education – cases, places and potentials. </w:t>
      </w:r>
      <w:r w:rsidRPr="001102FA">
        <w:rPr>
          <w:i/>
          <w:iCs/>
          <w:noProof/>
          <w:szCs w:val="24"/>
        </w:rPr>
        <w:t>Educational Media International</w:t>
      </w:r>
      <w:r w:rsidRPr="001102FA">
        <w:rPr>
          <w:noProof/>
          <w:szCs w:val="24"/>
        </w:rPr>
        <w:t xml:space="preserve">, </w:t>
      </w:r>
      <w:r w:rsidRPr="001102FA">
        <w:rPr>
          <w:i/>
          <w:iCs/>
          <w:noProof/>
          <w:szCs w:val="24"/>
        </w:rPr>
        <w:t>51</w:t>
      </w:r>
      <w:r w:rsidRPr="001102FA">
        <w:rPr>
          <w:noProof/>
          <w:szCs w:val="24"/>
        </w:rPr>
        <w:t>(1), 1–15. https://doi.org/10.1080/09523987.2014.889400</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Calo, R., Denning, T., Friedman, B., Kohno, T., Magassa, L., McReynolds, E., … Woo, J. (2015). Augmented Reality: A Technology and Policy Primer. Retrieved from http://techpolicylab.org/wp-content/uploads/2016/02/Augmented_Reality_Primer-TechPolicyLab.pdf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Chandler, D., &amp; Munday, R. (2011). augmented reality. In </w:t>
      </w:r>
      <w:r w:rsidRPr="001102FA">
        <w:rPr>
          <w:i/>
          <w:iCs/>
          <w:noProof/>
          <w:szCs w:val="24"/>
        </w:rPr>
        <w:t>A Dictionary of Media and Communication</w:t>
      </w:r>
      <w:r w:rsidRPr="001102FA">
        <w:rPr>
          <w:noProof/>
          <w:szCs w:val="24"/>
        </w:rPr>
        <w:t>. Oxford University Press. Retrieved from http://www.oxfordreference.com/view/10.1093/acref/9780199568758.001.0001/acref-9780199568758-e-0171</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Crecente, B. (2016). Pokémon Go breaks iTunes record, Apple confirms. Retrieved December 27, 2016, from http://www.polygon.com/2016/7/22/12258490/pokemon-go-itunes-record-apple-confirms</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Dasarathy, B. V. (1997). Sensor fusion potential exploitation-innovative architectures and illustrative applications. </w:t>
      </w:r>
      <w:r w:rsidRPr="001102FA">
        <w:rPr>
          <w:i/>
          <w:iCs/>
          <w:noProof/>
          <w:szCs w:val="24"/>
        </w:rPr>
        <w:t>Proceedings of the IEEE</w:t>
      </w:r>
      <w:r w:rsidRPr="001102FA">
        <w:rPr>
          <w:noProof/>
          <w:szCs w:val="24"/>
        </w:rPr>
        <w:t xml:space="preserve">, </w:t>
      </w:r>
      <w:r w:rsidRPr="001102FA">
        <w:rPr>
          <w:i/>
          <w:iCs/>
          <w:noProof/>
          <w:szCs w:val="24"/>
        </w:rPr>
        <w:t>85</w:t>
      </w:r>
      <w:r w:rsidRPr="001102FA">
        <w:rPr>
          <w:noProof/>
          <w:szCs w:val="24"/>
        </w:rPr>
        <w:t>(1), 24–38. https://doi.org/10.1109/5.554206</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Dede, C. (2009). Immersive Interfaces for Engagement and Learning. </w:t>
      </w:r>
      <w:r w:rsidRPr="001102FA">
        <w:rPr>
          <w:i/>
          <w:iCs/>
          <w:noProof/>
          <w:szCs w:val="24"/>
        </w:rPr>
        <w:t>Science</w:t>
      </w:r>
      <w:r w:rsidRPr="001102FA">
        <w:rPr>
          <w:noProof/>
          <w:szCs w:val="24"/>
        </w:rPr>
        <w:t xml:space="preserve">, </w:t>
      </w:r>
      <w:r w:rsidRPr="001102FA">
        <w:rPr>
          <w:i/>
          <w:iCs/>
          <w:noProof/>
          <w:szCs w:val="24"/>
        </w:rPr>
        <w:t>323</w:t>
      </w:r>
      <w:r w:rsidRPr="001102FA">
        <w:rPr>
          <w:noProof/>
          <w:szCs w:val="24"/>
        </w:rPr>
        <w:t>(5910), 66–69. Retrieved from https://pdfs.semanticscholar.org/844a/742b416bf914c3e22e6a0c3d9f7f1d58a185.pdf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Dunleavy, M. (2014). Design Principles for Augmented Reality Learning. </w:t>
      </w:r>
      <w:r w:rsidRPr="001102FA">
        <w:rPr>
          <w:i/>
          <w:iCs/>
          <w:noProof/>
          <w:szCs w:val="24"/>
        </w:rPr>
        <w:t>TechTrends</w:t>
      </w:r>
      <w:r w:rsidRPr="001102FA">
        <w:rPr>
          <w:noProof/>
          <w:szCs w:val="24"/>
        </w:rPr>
        <w:t xml:space="preserve">, </w:t>
      </w:r>
      <w:r w:rsidRPr="001102FA">
        <w:rPr>
          <w:i/>
          <w:iCs/>
          <w:noProof/>
          <w:szCs w:val="24"/>
        </w:rPr>
        <w:t>58</w:t>
      </w:r>
      <w:r w:rsidRPr="001102FA">
        <w:rPr>
          <w:noProof/>
          <w:szCs w:val="24"/>
        </w:rPr>
        <w:t>(1), 28–34. https://doi.org/10.1007/s11528-013-0717-2</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Dunleavy, M., Dede, C., &amp; Mitchell, R. (2009). Affordances and limitations of immersive participatory augmented reality simulations for teaching and learning. </w:t>
      </w:r>
      <w:r w:rsidRPr="001102FA">
        <w:rPr>
          <w:i/>
          <w:iCs/>
          <w:noProof/>
          <w:szCs w:val="24"/>
        </w:rPr>
        <w:t>Journal of Science Education and Technology</w:t>
      </w:r>
      <w:r w:rsidRPr="001102FA">
        <w:rPr>
          <w:noProof/>
          <w:szCs w:val="24"/>
        </w:rPr>
        <w:t xml:space="preserve">, </w:t>
      </w:r>
      <w:r w:rsidRPr="001102FA">
        <w:rPr>
          <w:i/>
          <w:iCs/>
          <w:noProof/>
          <w:szCs w:val="24"/>
        </w:rPr>
        <w:t>18</w:t>
      </w:r>
      <w:r w:rsidRPr="001102FA">
        <w:rPr>
          <w:noProof/>
          <w:szCs w:val="24"/>
        </w:rPr>
        <w:t>(1), 7–22. https://doi.org/10.1007/s10956-008-9119-1</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Feiner, S., MacIntyre, B., Höllerer, T., &amp; Webster, A. (1997). A Touring Machine: Prototyping 3D Mobile Augmented Reality Systems for Exploring the Urban Environment. </w:t>
      </w:r>
      <w:r w:rsidRPr="001102FA">
        <w:rPr>
          <w:i/>
          <w:iCs/>
          <w:noProof/>
          <w:szCs w:val="24"/>
        </w:rPr>
        <w:t>Personal Technologies</w:t>
      </w:r>
      <w:r w:rsidRPr="001102FA">
        <w:rPr>
          <w:noProof/>
          <w:szCs w:val="24"/>
        </w:rPr>
        <w:t xml:space="preserve">, </w:t>
      </w:r>
      <w:r w:rsidRPr="001102FA">
        <w:rPr>
          <w:i/>
          <w:iCs/>
          <w:noProof/>
          <w:szCs w:val="24"/>
        </w:rPr>
        <w:t>1</w:t>
      </w:r>
      <w:r w:rsidRPr="001102FA">
        <w:rPr>
          <w:noProof/>
          <w:szCs w:val="24"/>
        </w:rPr>
        <w:t>(4), 208–217. Retrieved from https://www.researchgate.net/profile/Blair_Macintyre/publication/221240775_A_Touring_Machine_Prototyping_3D_Mobile_Augmented_Reality_Systems_for_Exploring_the_Urban_Environment/links/0f31753c5290d35949000000.pdf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FitzGerald, E., Ferguson, R., Adams, A., Gaved, M., Mor, Y., &amp; Thomas, R. (2013). Augmented reality and mobile learning: the state of the art. </w:t>
      </w:r>
      <w:r w:rsidRPr="001102FA">
        <w:rPr>
          <w:i/>
          <w:iCs/>
          <w:noProof/>
          <w:szCs w:val="24"/>
        </w:rPr>
        <w:t>International Journal of Mobile and Blended Learning</w:t>
      </w:r>
      <w:r w:rsidRPr="001102FA">
        <w:rPr>
          <w:noProof/>
          <w:szCs w:val="24"/>
        </w:rPr>
        <w:t xml:space="preserve">, </w:t>
      </w:r>
      <w:r w:rsidRPr="001102FA">
        <w:rPr>
          <w:i/>
          <w:iCs/>
          <w:noProof/>
          <w:szCs w:val="24"/>
        </w:rPr>
        <w:t>5</w:t>
      </w:r>
      <w:r w:rsidRPr="001102FA">
        <w:rPr>
          <w:noProof/>
          <w:szCs w:val="24"/>
        </w:rPr>
        <w:t xml:space="preserve">(4), 43–58. Retrieved from </w:t>
      </w:r>
      <w:r w:rsidRPr="001102FA">
        <w:rPr>
          <w:noProof/>
          <w:szCs w:val="24"/>
        </w:rPr>
        <w:lastRenderedPageBreak/>
        <w:t>http://oro.open.ac.uk/38386/8/__userdata_documents4_ctb44_Desktop_FitzGerald paper-IJMBL 5%284%29.pdf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Fitzgerald, E., Taylor, C., &amp; Craven, M. (2013). To the Castle! A comparison of two audio guides to enable public discovery of historical events. </w:t>
      </w:r>
      <w:r w:rsidRPr="001102FA">
        <w:rPr>
          <w:i/>
          <w:iCs/>
          <w:noProof/>
          <w:szCs w:val="24"/>
        </w:rPr>
        <w:t>Personal and Ubiquitous Computing</w:t>
      </w:r>
      <w:r w:rsidRPr="001102FA">
        <w:rPr>
          <w:noProof/>
          <w:szCs w:val="24"/>
        </w:rPr>
        <w:t xml:space="preserve">, </w:t>
      </w:r>
      <w:r w:rsidRPr="001102FA">
        <w:rPr>
          <w:i/>
          <w:iCs/>
          <w:noProof/>
          <w:szCs w:val="24"/>
        </w:rPr>
        <w:t>17</w:t>
      </w:r>
      <w:r w:rsidRPr="001102FA">
        <w:rPr>
          <w:noProof/>
          <w:szCs w:val="24"/>
        </w:rPr>
        <w:t>(4), 749–760. https://doi.org/10.1007/s00779-012-0624-0</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Furmanski, C., Azuma, R. T., &amp; Daily, M. (2002). Augmented-reality visualizations guided by cognition: Perceptual heuristics for combining visible and obscured information. In </w:t>
      </w:r>
      <w:r w:rsidRPr="001102FA">
        <w:rPr>
          <w:i/>
          <w:iCs/>
          <w:noProof/>
          <w:szCs w:val="24"/>
        </w:rPr>
        <w:t>Proceedings of the International Symposium on Mixed and Augmented Reality (ISMAR’02)</w:t>
      </w:r>
      <w:r w:rsidRPr="001102FA">
        <w:rPr>
          <w:noProof/>
          <w:szCs w:val="24"/>
        </w:rPr>
        <w:t>. IEEE. https://doi.org/10.1109/ISMAR.2002.1115091</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Henderson, S. J., &amp; Feiner, S. (2009). Evaluating the benefits of augmented reality for task localization in maintenance of an armored personnel carrier turret. In </w:t>
      </w:r>
      <w:r w:rsidRPr="001102FA">
        <w:rPr>
          <w:i/>
          <w:iCs/>
          <w:noProof/>
          <w:szCs w:val="24"/>
        </w:rPr>
        <w:t>IEEE International Symposium on Mixed and Augmented Reality 2009</w:t>
      </w:r>
      <w:r w:rsidRPr="001102FA">
        <w:rPr>
          <w:noProof/>
          <w:szCs w:val="24"/>
        </w:rPr>
        <w:t xml:space="preserve"> (pp. 135–144). IEEE. https://doi.org/10.1109/ISMAR.2009.5336486</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Hol, J. D., Schön, T. B., Gustafsson, F., &amp; Slycke, P. J. (2006). Sensor Fusion for Augmented Reality. In </w:t>
      </w:r>
      <w:r w:rsidRPr="001102FA">
        <w:rPr>
          <w:i/>
          <w:iCs/>
          <w:noProof/>
          <w:szCs w:val="24"/>
        </w:rPr>
        <w:t>2006 9th International Conference on Information Fusion</w:t>
      </w:r>
      <w:r w:rsidRPr="001102FA">
        <w:rPr>
          <w:noProof/>
          <w:szCs w:val="24"/>
        </w:rPr>
        <w:t xml:space="preserve"> (pp. 1–6). IEEE. https://doi.org/10.1109/ICIF.2006.301604</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Introducing the Microsoft HoloLens Development Edition. (2016). Retrieved December 29, 2016, from https://www.microsoft.com/microsoft-hololens/de-de/development-edition</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Ishii, H., Wisneski, C., Orbanes, J., Chun, B., &amp; Paradiso, J. (1999). PingPongPlus: design of an athletic-tangible interface for computer-supported cooperative play. In </w:t>
      </w:r>
      <w:r w:rsidRPr="001102FA">
        <w:rPr>
          <w:i/>
          <w:iCs/>
          <w:noProof/>
          <w:szCs w:val="24"/>
        </w:rPr>
        <w:t>Proceedings of the SIGCHI conference on Human factors in computing systems</w:t>
      </w:r>
      <w:r w:rsidRPr="001102FA">
        <w:rPr>
          <w:noProof/>
          <w:szCs w:val="24"/>
        </w:rPr>
        <w:t>. ACM. https://doi.org/http://doi.acm.org/10.1145/302979.303115</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Johnson, D. M., &amp; Wiles, J. (2003). Effective Affective User Interface Design in Games. </w:t>
      </w:r>
      <w:r w:rsidRPr="001102FA">
        <w:rPr>
          <w:i/>
          <w:iCs/>
          <w:noProof/>
          <w:szCs w:val="24"/>
        </w:rPr>
        <w:t>Ergonomics</w:t>
      </w:r>
      <w:r w:rsidRPr="001102FA">
        <w:rPr>
          <w:noProof/>
          <w:szCs w:val="24"/>
        </w:rPr>
        <w:t xml:space="preserve">, </w:t>
      </w:r>
      <w:r w:rsidRPr="001102FA">
        <w:rPr>
          <w:i/>
          <w:iCs/>
          <w:noProof/>
          <w:szCs w:val="24"/>
        </w:rPr>
        <w:t>46</w:t>
      </w:r>
      <w:r w:rsidRPr="001102FA">
        <w:rPr>
          <w:noProof/>
          <w:szCs w:val="24"/>
        </w:rPr>
        <w:t>(13/14), 1332–1345. Retrieved from http://eprints.qut.edu.au/6693/1/6693.pdf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Johnson, L., Adams Becker, S., Cummins, M., Estrada, V., Freeman, A., &amp; Hall, C. (2016). </w:t>
      </w:r>
      <w:r w:rsidRPr="001102FA">
        <w:rPr>
          <w:i/>
          <w:iCs/>
          <w:noProof/>
          <w:szCs w:val="24"/>
        </w:rPr>
        <w:t>NMC Horizon Report: 2016 Higher Education Edition.</w:t>
      </w:r>
      <w:r w:rsidRPr="001102FA">
        <w:rPr>
          <w:noProof/>
          <w:szCs w:val="24"/>
        </w:rPr>
        <w:t xml:space="preserve"> Austin, Texas: The New Media Consortium. Retrieved from http://cdn.nmc.org/media/2016-nmc-horizon-report-he-EN.pdf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Johnson, L., Smith, R., Willis, H., Levine, A., &amp; Haywood, K. (2011). </w:t>
      </w:r>
      <w:r w:rsidRPr="001102FA">
        <w:rPr>
          <w:i/>
          <w:iCs/>
          <w:noProof/>
          <w:szCs w:val="24"/>
        </w:rPr>
        <w:t>The 2011 Horizon Report</w:t>
      </w:r>
      <w:r w:rsidRPr="001102FA">
        <w:rPr>
          <w:noProof/>
          <w:szCs w:val="24"/>
        </w:rPr>
        <w:t>. Austin, Texas: The New Media Consortium. Retrieved from http://www.nmc.org/pdf/2011-Horizon-Report.pdf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Julier, S., Lanzagorta, M., Baillot, Y., Rosenblum, L., Feiner, S., Höllerer, T., &amp; Sestito, S. </w:t>
      </w:r>
      <w:r w:rsidRPr="001102FA">
        <w:rPr>
          <w:noProof/>
          <w:szCs w:val="24"/>
        </w:rPr>
        <w:lastRenderedPageBreak/>
        <w:t xml:space="preserve">(2000). Information filtering for mobile augmented reality. In </w:t>
      </w:r>
      <w:r w:rsidRPr="001102FA">
        <w:rPr>
          <w:i/>
          <w:iCs/>
          <w:noProof/>
          <w:szCs w:val="24"/>
        </w:rPr>
        <w:t>Proceedings - IEEE and ACM International Symposium on Augmented Reality, ISAR 2000</w:t>
      </w:r>
      <w:r w:rsidRPr="001102FA">
        <w:rPr>
          <w:noProof/>
          <w:szCs w:val="24"/>
        </w:rPr>
        <w:t xml:space="preserve"> (pp. 3–11). IEEE. https://doi.org/10.1109/ISAR.2000.880917</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Kreimeier, B. (2002). The Case For Game Design Patterns. Retrieved December 14, 2016, from http://www.gamasutra.com/view/feature/4261/the_case_for</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Kruijff, E., Swan II, J. E., &amp; Feiner, S. (2010). Perceptual Issues in Augmented Reality Revisited. Retrieved from http://www.icg.tu-graz.ac.at/Members/kruijff/perceptual_issues_AR.pdf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Lamantia, J. (2009). Inside Out: Interaction Design for Augmented Reality. Retrieved December 19, 2016, from http://www.uxmatters.com/mt/archives/2009/08/inside-out-interaction-design-for-augmented-reality.php</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Lundgren, S., &amp; Björk, S. (2003). Game Mechanics: Describing Computer-Augmented Games in Terms of Interaction. In </w:t>
      </w:r>
      <w:r w:rsidRPr="001102FA">
        <w:rPr>
          <w:i/>
          <w:iCs/>
          <w:noProof/>
          <w:szCs w:val="24"/>
        </w:rPr>
        <w:t>Proceedings of TIDSE ’03</w:t>
      </w:r>
      <w:r w:rsidRPr="001102FA">
        <w:rPr>
          <w:noProof/>
          <w:szCs w:val="24"/>
        </w:rPr>
        <w:t>. Retrieved from http://www.cse.chalmers.se/research/group/idc/publication/pdf/lundgren_bjork_game_mechanics.pdf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Mattern, F., &amp; Floerkemeier, C. (2010). From the Internet of Computers to the Internet of Things. In K. Sachs, I. Petrov, &amp; P. Guerrero (Eds.), </w:t>
      </w:r>
      <w:r w:rsidRPr="001102FA">
        <w:rPr>
          <w:i/>
          <w:iCs/>
          <w:noProof/>
          <w:szCs w:val="24"/>
        </w:rPr>
        <w:t>From Active Data Management to Event-Based Systems and More (Lecture Notes in Computer Science, 6462)</w:t>
      </w:r>
      <w:r w:rsidRPr="001102FA">
        <w:rPr>
          <w:noProof/>
          <w:szCs w:val="24"/>
        </w:rPr>
        <w:t xml:space="preserve"> (pp. 242–259). Springer Berlin Heidelberg. Retrieved from http://ruangbacafmipa.staff.ub.ac.id/files/2012/02/ebooksclub.org__From_Active_Data_Management_to_Event_Based_Systems_and_More.pdf#page=258</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McGee, K. (2007). Patterns and Computer Game Design Innovation. In </w:t>
      </w:r>
      <w:r w:rsidRPr="001102FA">
        <w:rPr>
          <w:i/>
          <w:iCs/>
          <w:noProof/>
          <w:szCs w:val="24"/>
        </w:rPr>
        <w:t>Proceedings of the 4th Australasian conference on Interactive entertainment</w:t>
      </w:r>
      <w:r w:rsidRPr="001102FA">
        <w:rPr>
          <w:noProof/>
          <w:szCs w:val="24"/>
        </w:rPr>
        <w:t>. RMIT University. Retrieved from http://citeseerx.ist.psu.edu/viewdoc/download?doi=10.1.1.90.29&amp;rep=rep1&amp;type=pdf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Milgram, P., &amp; Kishino, F. (1994). Taxonomy of mixed reality visual displays. </w:t>
      </w:r>
      <w:r w:rsidRPr="001102FA">
        <w:rPr>
          <w:i/>
          <w:iCs/>
          <w:noProof/>
          <w:szCs w:val="24"/>
        </w:rPr>
        <w:t>IEICE Transactions on Information and Systems</w:t>
      </w:r>
      <w:r w:rsidRPr="001102FA">
        <w:rPr>
          <w:noProof/>
          <w:szCs w:val="24"/>
        </w:rPr>
        <w:t xml:space="preserve">, </w:t>
      </w:r>
      <w:r w:rsidRPr="001102FA">
        <w:rPr>
          <w:i/>
          <w:iCs/>
          <w:noProof/>
          <w:szCs w:val="24"/>
        </w:rPr>
        <w:t>77</w:t>
      </w:r>
      <w:r w:rsidRPr="001102FA">
        <w:rPr>
          <w:noProof/>
          <w:szCs w:val="24"/>
        </w:rPr>
        <w:t>(12), 1321–1329. https://doi.org/10.1.1.102.4646</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Mulloni, A., Dünser, A., &amp; Schmalstieg, D. (2010). Zooming Interfaces for Augmented Reality Browsers. In </w:t>
      </w:r>
      <w:r w:rsidRPr="001102FA">
        <w:rPr>
          <w:i/>
          <w:iCs/>
          <w:noProof/>
          <w:szCs w:val="24"/>
        </w:rPr>
        <w:t>Proceedings of the 12th international conference on Human computer interaction with mobile devices and services</w:t>
      </w:r>
      <w:r w:rsidRPr="001102FA">
        <w:rPr>
          <w:noProof/>
          <w:szCs w:val="24"/>
        </w:rPr>
        <w:t xml:space="preserve"> (pp. 161–170). New York: ACM. https://doi.org/10.1145/1851600.1851629</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Munnerley, D., Bacon, M., Wilson, A., Steele, J., Hedberg, J., &amp; Fitzgerald, R. (2012). </w:t>
      </w:r>
      <w:r w:rsidRPr="001102FA">
        <w:rPr>
          <w:noProof/>
          <w:szCs w:val="24"/>
        </w:rPr>
        <w:lastRenderedPageBreak/>
        <w:t xml:space="preserve">Confronting an augmented reality. </w:t>
      </w:r>
      <w:r w:rsidRPr="001102FA">
        <w:rPr>
          <w:i/>
          <w:iCs/>
          <w:noProof/>
          <w:szCs w:val="24"/>
        </w:rPr>
        <w:t>Research in Lerning Technology</w:t>
      </w:r>
      <w:r w:rsidRPr="001102FA">
        <w:rPr>
          <w:noProof/>
          <w:szCs w:val="24"/>
        </w:rPr>
        <w:t xml:space="preserve">, </w:t>
      </w:r>
      <w:r w:rsidRPr="001102FA">
        <w:rPr>
          <w:i/>
          <w:iCs/>
          <w:noProof/>
          <w:szCs w:val="24"/>
        </w:rPr>
        <w:t>20</w:t>
      </w:r>
      <w:r w:rsidRPr="001102FA">
        <w:rPr>
          <w:noProof/>
          <w:szCs w:val="24"/>
        </w:rPr>
        <w:t>, 39–48. https://doi.org/10.3402/rlt.v20i0.19189</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Niantic. (2013). Ingress. San Francisco, CA: Niantic.</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Niantic. (2016). Pokémon GO. San Francisco, CA: Niantic.</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Nilsson, S., Johansson, B., &amp; Jönsson, A. (2009). Using AR to support cross-organisational collaboration in dynamic tasks. In </w:t>
      </w:r>
      <w:r w:rsidRPr="001102FA">
        <w:rPr>
          <w:i/>
          <w:iCs/>
          <w:noProof/>
          <w:szCs w:val="24"/>
        </w:rPr>
        <w:t>In Proceedings of the 8th IEEE International Symposium on Mixed and Augmented Reality, ISMAR</w:t>
      </w:r>
      <w:r w:rsidRPr="001102FA">
        <w:rPr>
          <w:noProof/>
          <w:szCs w:val="24"/>
        </w:rPr>
        <w:t xml:space="preserve"> (pp. 3–12). Washington, DC: IEEE Computer Society. https://doi.org/10.1109/ISMAR.2009.5336522</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Olshannikova, E., Ometov, A., Koucheryavy, Y., &amp; Olsson, T. (2015). Visualizing Big Data with augmented and virtual reality: challenges and research agenda. </w:t>
      </w:r>
      <w:r w:rsidRPr="001102FA">
        <w:rPr>
          <w:i/>
          <w:iCs/>
          <w:noProof/>
          <w:szCs w:val="24"/>
        </w:rPr>
        <w:t>Journal of Big Data</w:t>
      </w:r>
      <w:r w:rsidRPr="001102FA">
        <w:rPr>
          <w:noProof/>
          <w:szCs w:val="24"/>
        </w:rPr>
        <w:t xml:space="preserve">, </w:t>
      </w:r>
      <w:r w:rsidRPr="001102FA">
        <w:rPr>
          <w:i/>
          <w:iCs/>
          <w:noProof/>
          <w:szCs w:val="24"/>
        </w:rPr>
        <w:t>2</w:t>
      </w:r>
      <w:r w:rsidRPr="001102FA">
        <w:rPr>
          <w:noProof/>
          <w:szCs w:val="24"/>
        </w:rPr>
        <w:t>(1). https://doi.org/10.1186/s40537-015-0031-2</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Radu, I. (2014). Augmented reality in education: a meta-review and cross-media analysis. </w:t>
      </w:r>
      <w:r w:rsidRPr="001102FA">
        <w:rPr>
          <w:i/>
          <w:iCs/>
          <w:noProof/>
          <w:szCs w:val="24"/>
        </w:rPr>
        <w:t>Personal and Ubiquitous Computing</w:t>
      </w:r>
      <w:r w:rsidRPr="001102FA">
        <w:rPr>
          <w:noProof/>
          <w:szCs w:val="24"/>
        </w:rPr>
        <w:t xml:space="preserve">, </w:t>
      </w:r>
      <w:r w:rsidRPr="001102FA">
        <w:rPr>
          <w:i/>
          <w:iCs/>
          <w:noProof/>
          <w:szCs w:val="24"/>
        </w:rPr>
        <w:t>18</w:t>
      </w:r>
      <w:r w:rsidRPr="001102FA">
        <w:rPr>
          <w:noProof/>
          <w:szCs w:val="24"/>
        </w:rPr>
        <w:t>(6), 1533–1543. https://doi.org/10.1007/s00779-013-0747-y</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Robinett, W. (1992). Synthetic experience: a proposed taxonomy. </w:t>
      </w:r>
      <w:r w:rsidRPr="001102FA">
        <w:rPr>
          <w:i/>
          <w:iCs/>
          <w:noProof/>
          <w:szCs w:val="24"/>
        </w:rPr>
        <w:t>Presence: Teleoperators and Virtual Environments</w:t>
      </w:r>
      <w:r w:rsidRPr="001102FA">
        <w:rPr>
          <w:noProof/>
          <w:szCs w:val="24"/>
        </w:rPr>
        <w:t xml:space="preserve">, </w:t>
      </w:r>
      <w:r w:rsidRPr="001102FA">
        <w:rPr>
          <w:i/>
          <w:iCs/>
          <w:noProof/>
          <w:szCs w:val="24"/>
        </w:rPr>
        <w:t>1</w:t>
      </w:r>
      <w:r w:rsidRPr="001102FA">
        <w:rPr>
          <w:noProof/>
          <w:szCs w:val="24"/>
        </w:rPr>
        <w:t>(2), 229–247.</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Schall, G., Wagner, D., Reitmayr, G., Taichmann, E., Wieser, M., Schmalstieg, D., &amp; Hofmann-Wellenhof, B. (2009). Global Pose Estimation using Multi-Sensor Fusion for Outdoor Augmented Reality. In </w:t>
      </w:r>
      <w:r w:rsidRPr="001102FA">
        <w:rPr>
          <w:i/>
          <w:iCs/>
          <w:noProof/>
          <w:szCs w:val="24"/>
        </w:rPr>
        <w:t>Proceedings of the 2009 8th IEEE International Symposium on Mixed and Augmented Reality</w:t>
      </w:r>
      <w:r w:rsidRPr="001102FA">
        <w:rPr>
          <w:noProof/>
          <w:szCs w:val="24"/>
        </w:rPr>
        <w:t xml:space="preserve"> (pp. 153–162). Retrieved from http://citeseerx.ist.psu.edu/viewdoc/download?doi=10.1.1.156.6860&amp;rep=rep1&amp;type=pdf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Schell, J. (2015). VR and AR: 2016, 2020, 2025. Retrieved December 26, 2016, from https://www.youtube.com/watch?v=wD0bp0r-EpI</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Schmitz, B., Specht, M., &amp; Klemke, R. (2012). An Analysis of the Educational Potential of Augmented Reality Games for Learning. In M. Specht, J. Multisilta, &amp; M. Sharples (Eds.), </w:t>
      </w:r>
      <w:r w:rsidRPr="001102FA">
        <w:rPr>
          <w:i/>
          <w:iCs/>
          <w:noProof/>
          <w:szCs w:val="24"/>
        </w:rPr>
        <w:t>Proceedings of the 11th World Conference on Mobile and Contextual Learning 2012</w:t>
      </w:r>
      <w:r w:rsidRPr="001102FA">
        <w:rPr>
          <w:noProof/>
          <w:szCs w:val="24"/>
        </w:rPr>
        <w:t xml:space="preserve"> (pp. 140–147). Retrieved from http://dspace.ou.nl/handle/1820/4790</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Sensor. (n.d.). Retrieved December 29, 2016, from https://www.merriam-</w:t>
      </w:r>
      <w:r w:rsidRPr="001102FA">
        <w:rPr>
          <w:noProof/>
          <w:szCs w:val="24"/>
        </w:rPr>
        <w:lastRenderedPageBreak/>
        <w:t>webster.com/dictionary/sensor</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Sharma, P., Wild, F., Klemke, R., Helin, K., &amp; Azam, T. (2016). </w:t>
      </w:r>
      <w:r w:rsidRPr="001102FA">
        <w:rPr>
          <w:i/>
          <w:iCs/>
          <w:noProof/>
          <w:szCs w:val="24"/>
        </w:rPr>
        <w:t>D3.1 Requirement analysis and sensor specifications – First version</w:t>
      </w:r>
      <w:r w:rsidRPr="001102FA">
        <w:rPr>
          <w:noProof/>
          <w:szCs w:val="24"/>
        </w:rPr>
        <w:t>. (F. Wild &amp; P. Sharma, Eds.).</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Specht, M., Ternier, S., &amp; Greller, W. (2011). Dimensions of Mobile Augmented Reality for Learning: A First Inventory. </w:t>
      </w:r>
      <w:r w:rsidRPr="001102FA">
        <w:rPr>
          <w:i/>
          <w:iCs/>
          <w:noProof/>
          <w:szCs w:val="24"/>
        </w:rPr>
        <w:t>Journal of the Research Center for Educational Technology (RCET)</w:t>
      </w:r>
      <w:r w:rsidRPr="001102FA">
        <w:rPr>
          <w:noProof/>
          <w:szCs w:val="24"/>
        </w:rPr>
        <w:t xml:space="preserve">, </w:t>
      </w:r>
      <w:r w:rsidRPr="001102FA">
        <w:rPr>
          <w:i/>
          <w:iCs/>
          <w:noProof/>
          <w:szCs w:val="24"/>
        </w:rPr>
        <w:t>7</w:t>
      </w:r>
      <w:r w:rsidRPr="001102FA">
        <w:rPr>
          <w:noProof/>
          <w:szCs w:val="24"/>
        </w:rPr>
        <w:t>(1), 117–127. Retrieved from http://rcetj.org/index.php/rcetj/article/viewFile/151/241</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Sutherland, I. E. (1968). A head-mounted three dimensional display. In </w:t>
      </w:r>
      <w:r w:rsidRPr="001102FA">
        <w:rPr>
          <w:i/>
          <w:iCs/>
          <w:noProof/>
          <w:szCs w:val="24"/>
        </w:rPr>
        <w:t>Proceedings of the December 9-11, 1968, fall joint computer conference, part I</w:t>
      </w:r>
      <w:r w:rsidRPr="001102FA">
        <w:rPr>
          <w:noProof/>
          <w:szCs w:val="24"/>
        </w:rPr>
        <w:t xml:space="preserve"> (pp. 757–764). https://doi.org/10.1145/1476589.1476686</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Ternier, S., De Vries, F., Börner, D., &amp; Specht, M. (2012). Mobile augmented reality with audio, supporting fieldwork of Cultural Sciences students in Florence. In G. Eleftherakis, M. Hinchey, &amp; M. Holcombe (Eds.), </w:t>
      </w:r>
      <w:r w:rsidRPr="001102FA">
        <w:rPr>
          <w:i/>
          <w:iCs/>
          <w:noProof/>
          <w:szCs w:val="24"/>
        </w:rPr>
        <w:t>Software Engineering and Formal Methods - Proceedings of 10th International Conference, SEFM 2012</w:t>
      </w:r>
      <w:r w:rsidRPr="001102FA">
        <w:rPr>
          <w:noProof/>
          <w:szCs w:val="24"/>
        </w:rPr>
        <w:t xml:space="preserve"> (pp. 367–379). Springer. Retrieved from http://dspace.ou.nl/handle/1820/5034</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Ternier, S., Klemke, R., Kalz, M., van Ulzen, P., &amp; Specht, M. (2012). ARLearn: Augmented reality meets augmented virtuality. </w:t>
      </w:r>
      <w:r w:rsidRPr="001102FA">
        <w:rPr>
          <w:i/>
          <w:iCs/>
          <w:noProof/>
          <w:szCs w:val="24"/>
        </w:rPr>
        <w:t>Journal of Universal Computer Science</w:t>
      </w:r>
      <w:r w:rsidRPr="001102FA">
        <w:rPr>
          <w:noProof/>
          <w:szCs w:val="24"/>
        </w:rPr>
        <w:t xml:space="preserve">, </w:t>
      </w:r>
      <w:r w:rsidRPr="001102FA">
        <w:rPr>
          <w:i/>
          <w:iCs/>
          <w:noProof/>
          <w:szCs w:val="24"/>
        </w:rPr>
        <w:t>18</w:t>
      </w:r>
      <w:r w:rsidRPr="001102FA">
        <w:rPr>
          <w:noProof/>
          <w:szCs w:val="24"/>
        </w:rPr>
        <w:t>(15), 2143–2164. https://doi.org/10.3217/jucs-018-15-2143</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Wetzel, R. (2013). A Case for Design Patterns supporting the Development of Mobile Mixed Reality Games. </w:t>
      </w:r>
      <w:r w:rsidRPr="001102FA">
        <w:rPr>
          <w:i/>
          <w:iCs/>
          <w:noProof/>
          <w:szCs w:val="24"/>
        </w:rPr>
        <w:t>Foundations of Digital Games</w:t>
      </w:r>
      <w:r w:rsidRPr="001102FA">
        <w:rPr>
          <w:noProof/>
          <w:szCs w:val="24"/>
        </w:rPr>
        <w:t>. Retrieved from http://www.fdg2013.org/program/workshops/papers/DPG2013/b6-wetzel.pdf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Wetzel, R., McCall, R., Braun, A.-K., &amp; Broll, W. (2008). Guidelines for Designing Augmented Reality Games. In </w:t>
      </w:r>
      <w:r w:rsidRPr="001102FA">
        <w:rPr>
          <w:i/>
          <w:iCs/>
          <w:noProof/>
          <w:szCs w:val="24"/>
        </w:rPr>
        <w:t>Proceedings of the 2008 Conference on Future Play: Research, Play, Share</w:t>
      </w:r>
      <w:r w:rsidRPr="001102FA">
        <w:rPr>
          <w:noProof/>
          <w:szCs w:val="24"/>
        </w:rPr>
        <w:t xml:space="preserve"> (pp. 173–180). Retrieved from http://eprints.lincoln.ac.uk/24599/1/Wetzel et al. - 2008 - Guidelines for designing augmented reality games.pdf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What is WEKIT? (n.d.). Retrieved January 2, 2017, from http://wekit.eu/</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White, R. M. (1987). A Sensor Classification Scheme. </w:t>
      </w:r>
      <w:r w:rsidRPr="001102FA">
        <w:rPr>
          <w:i/>
          <w:iCs/>
          <w:noProof/>
          <w:szCs w:val="24"/>
        </w:rPr>
        <w:t>IEEE Transactions on Ultrasonics, Ferroelectrics, and Frequency Control</w:t>
      </w:r>
      <w:r w:rsidRPr="001102FA">
        <w:rPr>
          <w:noProof/>
          <w:szCs w:val="24"/>
        </w:rPr>
        <w:t xml:space="preserve">, </w:t>
      </w:r>
      <w:r w:rsidRPr="001102FA">
        <w:rPr>
          <w:i/>
          <w:iCs/>
          <w:noProof/>
          <w:szCs w:val="24"/>
        </w:rPr>
        <w:t>34</w:t>
      </w:r>
      <w:r w:rsidRPr="001102FA">
        <w:rPr>
          <w:noProof/>
          <w:szCs w:val="24"/>
        </w:rPr>
        <w:t>(2), 124–126. Retrieved from http://ijlalhaider.pbworks.com/w/file/fetch/64130986/A Sensor Classification Scheme.pdf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Xu, Z., Xiang, C., Wen-Hui, W., Ji-Hai, Y., Lantz, V., &amp; Kong-Qiao, W. (2009). Hand Gesture Recognition and Virtual Game Control Based on 3D Accelerometer and EMG </w:t>
      </w:r>
      <w:r w:rsidRPr="001102FA">
        <w:rPr>
          <w:noProof/>
          <w:szCs w:val="24"/>
        </w:rPr>
        <w:lastRenderedPageBreak/>
        <w:t xml:space="preserve">Sensors. In </w:t>
      </w:r>
      <w:r w:rsidRPr="001102FA">
        <w:rPr>
          <w:i/>
          <w:iCs/>
          <w:noProof/>
          <w:szCs w:val="24"/>
        </w:rPr>
        <w:t>Proceedings of the 14th international conference on Intelligent user interfaces</w:t>
      </w:r>
      <w:r w:rsidRPr="001102FA">
        <w:rPr>
          <w:noProof/>
          <w:szCs w:val="24"/>
        </w:rPr>
        <w:t xml:space="preserve"> (pp. 401–406). ACM. Retrieved from https://pdfs.semanticscholar.org/6878/79899cb5c520970fd76eaca8b79e4aee820d.pdf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Yamabe, T., &amp; Nakajima, T. (2013). Playful training with augmented reality games: Case studies towards reality-oriented system design. </w:t>
      </w:r>
      <w:r w:rsidRPr="001102FA">
        <w:rPr>
          <w:i/>
          <w:iCs/>
          <w:noProof/>
          <w:szCs w:val="24"/>
        </w:rPr>
        <w:t>Multimedia Tools and Applications</w:t>
      </w:r>
      <w:r w:rsidRPr="001102FA">
        <w:rPr>
          <w:noProof/>
          <w:szCs w:val="24"/>
        </w:rPr>
        <w:t xml:space="preserve">, </w:t>
      </w:r>
      <w:r w:rsidRPr="001102FA">
        <w:rPr>
          <w:i/>
          <w:iCs/>
          <w:noProof/>
          <w:szCs w:val="24"/>
        </w:rPr>
        <w:t>62</w:t>
      </w:r>
      <w:r w:rsidRPr="001102FA">
        <w:rPr>
          <w:noProof/>
          <w:szCs w:val="24"/>
        </w:rPr>
        <w:t>(1), 259–286. https://doi.org/10.1007/s11042-011-0979-7</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You, S., &amp; Neumann, U. (2001). </w:t>
      </w:r>
      <w:r w:rsidRPr="001102FA">
        <w:rPr>
          <w:i/>
          <w:iCs/>
          <w:noProof/>
          <w:szCs w:val="24"/>
        </w:rPr>
        <w:t>Fusion of Vision and Gyro Tracking for Robust Augmented Reality Registration</w:t>
      </w:r>
      <w:r w:rsidRPr="001102FA">
        <w:rPr>
          <w:noProof/>
          <w:szCs w:val="24"/>
        </w:rPr>
        <w:t>. Retrieved from https://trac.v2.nl/export/5432/andres/Documentation/INS Kalman/fusion of vision and gyro tracking for AR.pdf</w:t>
      </w:r>
    </w:p>
    <w:p w:rsidR="001102FA" w:rsidRPr="001102FA" w:rsidRDefault="001102FA" w:rsidP="001102FA">
      <w:pPr>
        <w:widowControl w:val="0"/>
        <w:autoSpaceDE w:val="0"/>
        <w:autoSpaceDN w:val="0"/>
        <w:adjustRightInd w:val="0"/>
        <w:ind w:left="480" w:hanging="480"/>
        <w:rPr>
          <w:noProof/>
          <w:szCs w:val="24"/>
        </w:rPr>
      </w:pPr>
      <w:r w:rsidRPr="001102FA">
        <w:rPr>
          <w:noProof/>
          <w:szCs w:val="24"/>
        </w:rPr>
        <w:t xml:space="preserve">Zagal, J. P., Mateas, M., Fernández-Vara, C., Hochhalter, B., &amp; Lichti, N. (2005). Towards an Ontological Language for Game Analysis. In </w:t>
      </w:r>
      <w:r w:rsidRPr="001102FA">
        <w:rPr>
          <w:i/>
          <w:iCs/>
          <w:noProof/>
          <w:szCs w:val="24"/>
        </w:rPr>
        <w:t>Proceedings of DiGRA 2005 Conference</w:t>
      </w:r>
      <w:r w:rsidRPr="001102FA">
        <w:rPr>
          <w:noProof/>
          <w:szCs w:val="24"/>
        </w:rPr>
        <w:t xml:space="preserve"> (pp. 3–14). Retrieved from https://users.soe.ucsc.edu/~michaelm/publications/zagal-worlds-in-play-2007.pdf</w:t>
      </w:r>
    </w:p>
    <w:p w:rsidR="001102FA" w:rsidRPr="001102FA" w:rsidRDefault="001102FA" w:rsidP="001102FA">
      <w:pPr>
        <w:widowControl w:val="0"/>
        <w:autoSpaceDE w:val="0"/>
        <w:autoSpaceDN w:val="0"/>
        <w:adjustRightInd w:val="0"/>
        <w:ind w:left="480" w:hanging="480"/>
        <w:rPr>
          <w:noProof/>
        </w:rPr>
      </w:pPr>
      <w:r w:rsidRPr="001102FA">
        <w:rPr>
          <w:noProof/>
          <w:szCs w:val="24"/>
        </w:rPr>
        <w:t xml:space="preserve">Zhang, Z. (2012). Microsoft Kinect Sensor and Its Effect. </w:t>
      </w:r>
      <w:r w:rsidRPr="001102FA">
        <w:rPr>
          <w:i/>
          <w:iCs/>
          <w:noProof/>
          <w:szCs w:val="24"/>
        </w:rPr>
        <w:t>IEEE Multimedia</w:t>
      </w:r>
      <w:r w:rsidRPr="001102FA">
        <w:rPr>
          <w:noProof/>
          <w:szCs w:val="24"/>
        </w:rPr>
        <w:t xml:space="preserve">, </w:t>
      </w:r>
      <w:r w:rsidRPr="001102FA">
        <w:rPr>
          <w:i/>
          <w:iCs/>
          <w:noProof/>
          <w:szCs w:val="24"/>
        </w:rPr>
        <w:t>19</w:t>
      </w:r>
      <w:r w:rsidRPr="001102FA">
        <w:rPr>
          <w:noProof/>
          <w:szCs w:val="24"/>
        </w:rPr>
        <w:t>(2), 4–10. Retrieved from https://www.researchgate.net/profile/Zhengyou_Zhang/publication/254058710_Microsoft_Kinect_Sensor_and_Its_Effect/links/00b7d53ab783285cdb000000.pdf</w:t>
      </w:r>
    </w:p>
    <w:p w:rsidR="00FE68DC" w:rsidRPr="00F3545F" w:rsidRDefault="006B7192" w:rsidP="001102FA">
      <w:pPr>
        <w:widowControl w:val="0"/>
        <w:autoSpaceDE w:val="0"/>
        <w:autoSpaceDN w:val="0"/>
        <w:adjustRightInd w:val="0"/>
        <w:ind w:left="480" w:hanging="480"/>
        <w:rPr>
          <w:lang w:val="en-US"/>
        </w:rPr>
      </w:pPr>
      <w:r w:rsidRPr="00F3545F">
        <w:rPr>
          <w:lang w:val="en-US"/>
        </w:rPr>
        <w:fldChar w:fldCharType="end"/>
      </w:r>
    </w:p>
    <w:p w:rsidR="00933C8E" w:rsidRPr="00F3545F" w:rsidRDefault="00C4539F" w:rsidP="00415BA3">
      <w:pPr>
        <w:pStyle w:val="berschrift1"/>
        <w:rPr>
          <w:lang w:val="en-US"/>
        </w:rPr>
      </w:pPr>
      <w:bookmarkStart w:id="55" w:name="_Toc471154336"/>
      <w:r w:rsidRPr="00F3545F">
        <w:rPr>
          <w:lang w:val="en-US"/>
        </w:rPr>
        <w:t>Declaration of authenticity</w:t>
      </w:r>
      <w:bookmarkEnd w:id="55"/>
    </w:p>
    <w:p w:rsidR="00CE140A" w:rsidRPr="00F3545F" w:rsidRDefault="00B9740B" w:rsidP="00415BA3">
      <w:pPr>
        <w:pStyle w:val="berschrift1"/>
        <w:rPr>
          <w:lang w:val="en-US"/>
        </w:rPr>
      </w:pPr>
      <w:bookmarkStart w:id="56" w:name="_Toc471154337"/>
      <w:r w:rsidRPr="00F3545F">
        <w:rPr>
          <w:lang w:val="en-US"/>
        </w:rPr>
        <w:t>Appendix</w:t>
      </w:r>
      <w:bookmarkEnd w:id="56"/>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Felix" w:date="2017-01-02T02:04:00Z" w:initials="F">
    <w:p w:rsidR="001102FA" w:rsidRDefault="001102FA">
      <w:pPr>
        <w:pStyle w:val="Kommentartext"/>
      </w:pPr>
      <w:r>
        <w:rPr>
          <w:rStyle w:val="Kommentarzeichen"/>
        </w:rPr>
        <w:annotationRef/>
      </w:r>
      <w:r>
        <w:t>S.117</w:t>
      </w:r>
    </w:p>
  </w:comment>
  <w:comment w:id="8" w:author="Felix" w:date="2017-01-02T02:16:00Z" w:initials="F">
    <w:p w:rsidR="001102FA" w:rsidRDefault="001102FA">
      <w:pPr>
        <w:pStyle w:val="Kommentartext"/>
      </w:pPr>
      <w:r>
        <w:rPr>
          <w:rStyle w:val="Kommentarzeichen"/>
        </w:rPr>
        <w:annotationRef/>
      </w:r>
      <w:r>
        <w:t>S. 34</w:t>
      </w:r>
    </w:p>
  </w:comment>
  <w:comment w:id="9" w:author="Felix" w:date="2016-12-26T13:48:00Z" w:initials="F">
    <w:p w:rsidR="001102FA" w:rsidRDefault="001102FA">
      <w:pPr>
        <w:pStyle w:val="Kommentartext"/>
      </w:pPr>
      <w:r>
        <w:rPr>
          <w:rStyle w:val="Kommentarzeichen"/>
        </w:rPr>
        <w:annotationRef/>
      </w:r>
      <w:r>
        <w:t>Anders zitieren?</w:t>
      </w:r>
    </w:p>
  </w:comment>
  <w:comment w:id="10" w:author="Felix" w:date="2017-01-01T17:23:00Z" w:initials="F">
    <w:p w:rsidR="001102FA" w:rsidRDefault="001102FA">
      <w:pPr>
        <w:pStyle w:val="Kommentartext"/>
      </w:pPr>
      <w:r>
        <w:rPr>
          <w:rStyle w:val="Kommentarzeichen"/>
        </w:rPr>
        <w:annotationRef/>
      </w:r>
      <w:r>
        <w:t xml:space="preserve">Eventuell an andere Stelle (beim </w:t>
      </w:r>
      <w:proofErr w:type="spellStart"/>
      <w:r>
        <w:t>Continuum</w:t>
      </w:r>
      <w:proofErr w:type="spellEnd"/>
      <w:r>
        <w:t>?) oder ganz raus</w:t>
      </w:r>
    </w:p>
  </w:comment>
  <w:comment w:id="11" w:author="Felix" w:date="2017-01-02T02:11:00Z" w:initials="F">
    <w:p w:rsidR="001102FA" w:rsidRDefault="001102FA">
      <w:pPr>
        <w:pStyle w:val="Kommentartext"/>
      </w:pPr>
      <w:r>
        <w:rPr>
          <w:rStyle w:val="Kommentarzeichen"/>
        </w:rPr>
        <w:annotationRef/>
      </w:r>
      <w:r>
        <w:t>20:32</w:t>
      </w:r>
    </w:p>
  </w:comment>
  <w:comment w:id="14" w:author="Felix" w:date="2017-01-02T18:55:00Z" w:initials="F">
    <w:p w:rsidR="001102FA" w:rsidRDefault="001102FA" w:rsidP="00A1445D">
      <w:pPr>
        <w:pStyle w:val="Kommentartext"/>
      </w:pPr>
      <w:r>
        <w:rPr>
          <w:rStyle w:val="Kommentarzeichen"/>
        </w:rPr>
        <w:annotationRef/>
      </w:r>
      <w:r>
        <w:t>S. 44</w:t>
      </w:r>
    </w:p>
  </w:comment>
  <w:comment w:id="16" w:author="Felix" w:date="2017-01-02T02:18:00Z" w:initials="F">
    <w:p w:rsidR="001102FA" w:rsidRDefault="001102FA">
      <w:pPr>
        <w:pStyle w:val="Kommentartext"/>
      </w:pPr>
      <w:r>
        <w:rPr>
          <w:rStyle w:val="Kommentarzeichen"/>
        </w:rPr>
        <w:annotationRef/>
      </w:r>
      <w:r>
        <w:t>S. 4</w:t>
      </w:r>
    </w:p>
  </w:comment>
  <w:comment w:id="21" w:author="Felix" w:date="2017-01-02T19:13:00Z" w:initials="F">
    <w:p w:rsidR="001102FA" w:rsidRDefault="001102FA">
      <w:pPr>
        <w:pStyle w:val="Kommentartext"/>
      </w:pPr>
      <w:r>
        <w:rPr>
          <w:rStyle w:val="Kommentarzeichen"/>
        </w:rPr>
        <w:annotationRef/>
      </w:r>
      <w:r>
        <w:t>Zitieren?</w:t>
      </w:r>
    </w:p>
    <w:p w:rsidR="001102FA" w:rsidRDefault="001102FA">
      <w:pPr>
        <w:pStyle w:val="Kommentartext"/>
      </w:pPr>
      <w:r>
        <w:t>Roland: Wenn möglich, ja. Da Du aber klar machst, dass Du aus einem Zitat zitierst, ist es nicht wirklich wichtig hier.</w:t>
      </w:r>
    </w:p>
  </w:comment>
  <w:comment w:id="22" w:author="Felix" w:date="2016-12-27T17:03:00Z" w:initials="F">
    <w:p w:rsidR="001102FA" w:rsidRDefault="001102FA">
      <w:pPr>
        <w:pStyle w:val="Kommentartext"/>
      </w:pPr>
      <w:r>
        <w:rPr>
          <w:rStyle w:val="Kommentarzeichen"/>
        </w:rPr>
        <w:annotationRef/>
      </w:r>
      <w:r>
        <w:t>Nicht sicher, wie gut Wetzel als Quelle dafür ist</w:t>
      </w:r>
    </w:p>
  </w:comment>
  <w:comment w:id="23" w:author="Felix" w:date="2016-12-27T18:57:00Z" w:initials="F">
    <w:p w:rsidR="001102FA" w:rsidRDefault="001102FA">
      <w:pPr>
        <w:pStyle w:val="Kommentartext"/>
      </w:pPr>
      <w:r>
        <w:rPr>
          <w:rStyle w:val="Kommentarzeichen"/>
        </w:rPr>
        <w:annotationRef/>
      </w:r>
      <w:r>
        <w:t>ARQuake / Pacman auch hier?</w:t>
      </w:r>
    </w:p>
  </w:comment>
  <w:comment w:id="24" w:author="Felix" w:date="2016-12-27T19:16:00Z" w:initials="F">
    <w:p w:rsidR="001102FA" w:rsidRDefault="001102FA">
      <w:pPr>
        <w:pStyle w:val="Kommentartext"/>
      </w:pPr>
      <w:r>
        <w:rPr>
          <w:rStyle w:val="Kommentarzeichen"/>
        </w:rPr>
        <w:annotationRef/>
      </w:r>
      <w:r>
        <w:t>Zitierweise?</w:t>
      </w:r>
    </w:p>
  </w:comment>
  <w:comment w:id="26" w:author="Felix" w:date="2017-01-02T19:14:00Z" w:initials="F">
    <w:p w:rsidR="001102FA" w:rsidRDefault="001102FA">
      <w:pPr>
        <w:pStyle w:val="Kommentartext"/>
      </w:pPr>
      <w:r>
        <w:rPr>
          <w:rStyle w:val="Kommentarzeichen"/>
        </w:rPr>
        <w:annotationRef/>
      </w:r>
      <w:r>
        <w:t>Bereich sollte wohl deutlich mehr Beispiele + andere Ansätze haben.</w:t>
      </w:r>
    </w:p>
    <w:p w:rsidR="001102FA" w:rsidRDefault="001102FA">
      <w:pPr>
        <w:pStyle w:val="Kommentartext"/>
      </w:pPr>
      <w:r>
        <w:t>Roland: Mehr Beispiele schaden natürlich nie, insbesondere, wenn sie was neues/anderes hinzufügen. Es sind aber keine nötig, die lediglich „</w:t>
      </w:r>
      <w:proofErr w:type="spellStart"/>
      <w:r>
        <w:t>more</w:t>
      </w:r>
      <w:proofErr w:type="spellEnd"/>
      <w:r>
        <w:t xml:space="preserve"> </w:t>
      </w:r>
      <w:proofErr w:type="spellStart"/>
      <w:r>
        <w:t>of</w:t>
      </w:r>
      <w:proofErr w:type="spellEnd"/>
      <w:r>
        <w:t xml:space="preserve"> </w:t>
      </w:r>
      <w:proofErr w:type="spellStart"/>
      <w:r>
        <w:t>the</w:t>
      </w:r>
      <w:proofErr w:type="spellEnd"/>
      <w:r>
        <w:t xml:space="preserve"> same“ hinzufügen.</w:t>
      </w:r>
    </w:p>
  </w:comment>
  <w:comment w:id="25" w:author="Felix" w:date="2017-01-02T02:22:00Z" w:initials="F">
    <w:p w:rsidR="001102FA" w:rsidRDefault="001102FA">
      <w:pPr>
        <w:pStyle w:val="Kommentartext"/>
      </w:pPr>
      <w:r>
        <w:rPr>
          <w:rStyle w:val="Kommentarzeichen"/>
        </w:rPr>
        <w:annotationRef/>
      </w:r>
      <w:r>
        <w:t>S. 178</w:t>
      </w:r>
    </w:p>
  </w:comment>
  <w:comment w:id="32" w:author="Felix" w:date="2016-12-29T17:03:00Z" w:initials="F">
    <w:p w:rsidR="001102FA" w:rsidRDefault="001102FA">
      <w:pPr>
        <w:pStyle w:val="Kommentartext"/>
      </w:pPr>
      <w:r>
        <w:rPr>
          <w:rStyle w:val="Kommentarzeichen"/>
        </w:rPr>
        <w:annotationRef/>
      </w:r>
      <w:r>
        <w:t>Direkt zitieren?</w:t>
      </w:r>
    </w:p>
  </w:comment>
  <w:comment w:id="33" w:author="Felix" w:date="2016-12-29T21:10:00Z" w:initials="F">
    <w:p w:rsidR="001102FA" w:rsidRDefault="001102FA">
      <w:pPr>
        <w:pStyle w:val="Kommentartext"/>
      </w:pPr>
      <w:r>
        <w:rPr>
          <w:rStyle w:val="Kommentarzeichen"/>
        </w:rPr>
        <w:annotationRef/>
      </w:r>
      <w:r>
        <w:t>Mehr (kommerzielle) Beispiele?</w:t>
      </w:r>
    </w:p>
  </w:comment>
  <w:comment w:id="35" w:author="Felix" w:date="2017-01-02T02:24:00Z" w:initials="F">
    <w:p w:rsidR="001102FA" w:rsidRDefault="001102FA">
      <w:pPr>
        <w:pStyle w:val="Kommentartext"/>
      </w:pPr>
      <w:r>
        <w:rPr>
          <w:rStyle w:val="Kommentarzeichen"/>
        </w:rPr>
        <w:annotationRef/>
      </w:r>
      <w:r>
        <w:t>S. 12</w:t>
      </w:r>
    </w:p>
  </w:comment>
  <w:comment w:id="37" w:author="Felix" w:date="2017-01-02T19:22:00Z" w:initials="F">
    <w:p w:rsidR="001102FA" w:rsidRPr="007C5EAF" w:rsidRDefault="001102FA">
      <w:pPr>
        <w:pStyle w:val="Kommentartext"/>
      </w:pPr>
      <w:r>
        <w:rPr>
          <w:rStyle w:val="Kommentarzeichen"/>
        </w:rPr>
        <w:annotationRef/>
      </w:r>
      <w:r w:rsidRPr="007C5EAF">
        <w:t>Interaction patterns?</w:t>
      </w:r>
    </w:p>
    <w:p w:rsidR="001102FA" w:rsidRPr="009D6325" w:rsidRDefault="001102FA">
      <w:pPr>
        <w:pStyle w:val="Kommentartext"/>
      </w:pPr>
      <w:r w:rsidRPr="009D6325">
        <w:t xml:space="preserve">Roland: </w:t>
      </w:r>
      <w:r>
        <w:t>Du müsstest in der verwendeten Quelle schauen, wie sie den Pattern-Begriff verwenden und dann ggf. als Synonym für Design Pattern oder als Spezialform von Design Pattern einführen. Wenn beides nicht passt, ggf. eine eigene Definition verwenden.</w:t>
      </w:r>
    </w:p>
  </w:comment>
  <w:comment w:id="38" w:author="Felix" w:date="2017-01-02T19:23:00Z" w:initials="F">
    <w:p w:rsidR="001102FA" w:rsidRDefault="001102FA">
      <w:pPr>
        <w:pStyle w:val="Kommentartext"/>
        <w:rPr>
          <w:rStyle w:val="Kommentarzeichen"/>
        </w:rPr>
      </w:pPr>
      <w:r>
        <w:rPr>
          <w:rStyle w:val="Kommentarzeichen"/>
        </w:rPr>
        <w:annotationRef/>
      </w:r>
      <w:r>
        <w:rPr>
          <w:rStyle w:val="Kommentarzeichen"/>
        </w:rPr>
        <w:t xml:space="preserve">Was kann als Grund für die Betrachtung von Patterns angegeben werden? </w:t>
      </w:r>
    </w:p>
    <w:p w:rsidR="001102FA" w:rsidRDefault="001102FA" w:rsidP="004128BE">
      <w:pPr>
        <w:pStyle w:val="Kommentartext"/>
      </w:pPr>
      <w:r>
        <w:rPr>
          <w:rStyle w:val="Kommentarzeichen"/>
        </w:rPr>
        <w:t xml:space="preserve">Roland: </w:t>
      </w:r>
      <w:r>
        <w:t>AR ist ein neues Feld, Patterns sind eine Strukturierungshilfe, die sich für Games in anderen Bereichen bewährt haben, daher wird hier ihre Übertragung auf AR untersucht</w:t>
      </w:r>
    </w:p>
    <w:p w:rsidR="001102FA" w:rsidRPr="009D6325" w:rsidRDefault="001102FA">
      <w:pPr>
        <w:pStyle w:val="Kommentartext"/>
      </w:pPr>
    </w:p>
  </w:comment>
  <w:comment w:id="39" w:author="Felix" w:date="2017-01-02T19:23:00Z" w:initials="F">
    <w:p w:rsidR="001102FA" w:rsidRDefault="001102FA">
      <w:pPr>
        <w:pStyle w:val="Kommentartext"/>
      </w:pPr>
      <w:r>
        <w:rPr>
          <w:rStyle w:val="Kommentarzeichen"/>
        </w:rPr>
        <w:annotationRef/>
      </w:r>
      <w:r>
        <w:t xml:space="preserve">Christopher Alexander selbst zitieren? </w:t>
      </w:r>
    </w:p>
    <w:p w:rsidR="001102FA" w:rsidRDefault="001102FA">
      <w:pPr>
        <w:pStyle w:val="Kommentartext"/>
      </w:pPr>
      <w:r>
        <w:t>Roland: Wenn klar ist, dass es ein Zitat aus Zitat ist, nicht unbedingt nötig.</w:t>
      </w:r>
    </w:p>
  </w:comment>
  <w:comment w:id="41" w:author="Felix" w:date="2016-12-30T14:30:00Z" w:initials="F">
    <w:p w:rsidR="001102FA" w:rsidRDefault="001102FA">
      <w:pPr>
        <w:pStyle w:val="Kommentartext"/>
      </w:pPr>
      <w:r>
        <w:rPr>
          <w:rStyle w:val="Kommentarzeichen"/>
        </w:rPr>
        <w:annotationRef/>
      </w:r>
      <w:r>
        <w:t>Belegen</w:t>
      </w:r>
    </w:p>
  </w:comment>
  <w:comment w:id="42" w:author="Felix" w:date="2017-01-02T19:24:00Z" w:initials="F">
    <w:p w:rsidR="001102FA" w:rsidRDefault="001102FA">
      <w:pPr>
        <w:pStyle w:val="Kommentartext"/>
      </w:pPr>
      <w:r>
        <w:rPr>
          <w:rStyle w:val="Kommentarzeichen"/>
        </w:rPr>
        <w:annotationRef/>
      </w:r>
      <w:r>
        <w:t>Zitieren wenn nicht selbst gelesen?</w:t>
      </w:r>
    </w:p>
    <w:p w:rsidR="001102FA" w:rsidRDefault="001102FA">
      <w:pPr>
        <w:pStyle w:val="Kommentartext"/>
      </w:pPr>
      <w:r>
        <w:t xml:space="preserve">Roland: Streng genommen: nein. Ich versuche aber noch, das Original zu bekommen. Es sind allerdings eine Reihe von Artikeln von den beiden Autoren zu Game design </w:t>
      </w:r>
      <w:proofErr w:type="spellStart"/>
      <w:r>
        <w:t>patterns</w:t>
      </w:r>
      <w:proofErr w:type="spellEnd"/>
      <w:r>
        <w:t xml:space="preserve"> in Scholar verfügbar, die alternativ verwendet werden können. Es gibt außerdem ihre Sammlung von Game design </w:t>
      </w:r>
      <w:proofErr w:type="spellStart"/>
      <w:r>
        <w:t>patterns</w:t>
      </w:r>
      <w:proofErr w:type="spellEnd"/>
      <w:r>
        <w:t xml:space="preserve"> online.</w:t>
      </w:r>
    </w:p>
  </w:comment>
  <w:comment w:id="44" w:author="Felix" w:date="2016-12-30T18:28:00Z" w:initials="F">
    <w:p w:rsidR="001102FA" w:rsidRDefault="001102FA">
      <w:pPr>
        <w:pStyle w:val="Kommentartext"/>
      </w:pPr>
      <w:r>
        <w:rPr>
          <w:rStyle w:val="Kommentarzeichen"/>
        </w:rPr>
        <w:annotationRef/>
      </w:r>
      <w:r>
        <w:t>Zitieren?</w:t>
      </w:r>
    </w:p>
  </w:comment>
  <w:comment w:id="45" w:author="Felix" w:date="2016-12-30T21:07:00Z" w:initials="F">
    <w:p w:rsidR="001102FA" w:rsidRDefault="001102FA">
      <w:pPr>
        <w:pStyle w:val="Kommentartext"/>
      </w:pPr>
      <w:r>
        <w:rPr>
          <w:rStyle w:val="Kommentarzeichen"/>
        </w:rPr>
        <w:annotationRef/>
      </w:r>
      <w:r>
        <w:rPr>
          <w:rStyle w:val="Kommentarzeichen"/>
        </w:rPr>
        <w:annotationRef/>
      </w:r>
      <w:r>
        <w:t>Hier sollte noch irgendwas an Text hin.</w:t>
      </w:r>
    </w:p>
  </w:comment>
  <w:comment w:id="46" w:author="Felix" w:date="2017-01-02T19:25:00Z" w:initials="F">
    <w:p w:rsidR="001102FA" w:rsidRDefault="001102FA">
      <w:pPr>
        <w:pStyle w:val="Kommentartext"/>
      </w:pPr>
      <w:r>
        <w:rPr>
          <w:rStyle w:val="Kommentarzeichen"/>
        </w:rPr>
        <w:annotationRef/>
      </w:r>
      <w:r>
        <w:t>Neuere Quellen auch erwähnen (gameontology.com)?</w:t>
      </w:r>
    </w:p>
    <w:p w:rsidR="001102FA" w:rsidRDefault="001102FA">
      <w:pPr>
        <w:pStyle w:val="Kommentartext"/>
      </w:pPr>
      <w:r>
        <w:t>Roland: Wenn die neuen Quellen neue Dinge hinzufügen: alte und neue verwenden. Wenn nicht: Geschmackssache, welche verwendet wird (z.B. die höherwertigste oder die meist zitierte)</w:t>
      </w:r>
    </w:p>
  </w:comment>
  <w:comment w:id="48" w:author="Felix" w:date="2017-01-02T19:28:00Z" w:initials="F">
    <w:p w:rsidR="001102FA" w:rsidRDefault="001102FA">
      <w:pPr>
        <w:pStyle w:val="Kommentartext"/>
      </w:pPr>
      <w:r>
        <w:rPr>
          <w:rStyle w:val="Kommentarzeichen"/>
        </w:rPr>
        <w:annotationRef/>
      </w:r>
      <w:r>
        <w:t>Zu großes unbelegtes Statement?</w:t>
      </w:r>
    </w:p>
    <w:p w:rsidR="001102FA" w:rsidRDefault="001102FA">
      <w:pPr>
        <w:pStyle w:val="Kommentartext"/>
      </w:pPr>
      <w:r>
        <w:t xml:space="preserve">Roland: Hier ist unklar, woher die Aussage kommt: erwartest Du das oder erwartet </w:t>
      </w:r>
      <w:proofErr w:type="spellStart"/>
      <w:r>
        <w:t>Lamantia</w:t>
      </w:r>
      <w:proofErr w:type="spellEnd"/>
      <w:r>
        <w:t xml:space="preserve"> das? Im ersten Fall gehört das eher in eine Zusammenfassung des Literaturkapitels, wo Du nochmal knapp beschreibst, was Du aus dem diskutierten mitnimmst: welche Patterns, welche Sensoren, welche Interaktionsformen/Visualisierungen? </w:t>
      </w:r>
    </w:p>
  </w:comment>
  <w:comment w:id="49" w:author="Felix" w:date="2017-01-02T19:29:00Z" w:initials="F">
    <w:p w:rsidR="001102FA" w:rsidRDefault="001102FA">
      <w:pPr>
        <w:pStyle w:val="Kommentartext"/>
      </w:pPr>
      <w:r>
        <w:rPr>
          <w:rStyle w:val="Kommentarzeichen"/>
        </w:rPr>
        <w:annotationRef/>
      </w:r>
      <w:r>
        <w:t>Sind solche Listen sinnvoll? Details besser auslassen?</w:t>
      </w:r>
    </w:p>
    <w:p w:rsidR="001102FA" w:rsidRDefault="001102FA">
      <w:pPr>
        <w:pStyle w:val="Kommentartext"/>
      </w:pPr>
      <w:r>
        <w:t>Roland: Wenn diese Guidelines für Deine weitere Arbeit wichtig sind (z.B. weil Du Dein Framework darauf aufbaust), sollten sie in mehr Detail besprochen sein (z.B. 1-2 Sätze pro Guideline). Wenn Du sie nur erwähnen willst, würde ich die Liste durch einen Absatz Fließtext ersetzen, der die Idee der Guidelines erklärt und nur ein paar der Guidelines explizit erwähnt.</w:t>
      </w:r>
    </w:p>
  </w:comment>
  <w:comment w:id="53" w:author="Felix" w:date="2016-12-31T16:52:00Z" w:initials="F">
    <w:p w:rsidR="001102FA" w:rsidRDefault="001102FA">
      <w:pPr>
        <w:pStyle w:val="Kommentartext"/>
      </w:pPr>
      <w:r>
        <w:rPr>
          <w:rStyle w:val="Kommentarzeichen"/>
        </w:rPr>
        <w:annotationRef/>
      </w:r>
      <w:proofErr w:type="spellStart"/>
      <w:r>
        <w:t>Evtl</w:t>
      </w:r>
      <w:proofErr w:type="spellEnd"/>
      <w:r>
        <w:t xml:space="preserve"> ganze Liste hierhin, bzw. später Low-level functions als Punkt im Framework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C65" w:rsidRDefault="00BD5C65">
      <w:r>
        <w:separator/>
      </w:r>
    </w:p>
  </w:endnote>
  <w:endnote w:type="continuationSeparator" w:id="0">
    <w:p w:rsidR="00BD5C65" w:rsidRDefault="00BD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1102FA" w:rsidRPr="00F51235" w:rsidRDefault="001102FA">
        <w:pPr>
          <w:pStyle w:val="Fuzeile"/>
          <w:jc w:val="center"/>
        </w:pPr>
        <w:r w:rsidRPr="00F51235">
          <w:fldChar w:fldCharType="begin"/>
        </w:r>
        <w:r w:rsidRPr="00F51235">
          <w:instrText>PAGE   \* MERGEFORMAT</w:instrText>
        </w:r>
        <w:r w:rsidRPr="00F51235">
          <w:fldChar w:fldCharType="separate"/>
        </w:r>
        <w:r w:rsidR="00D63783">
          <w:rPr>
            <w:noProof/>
          </w:rPr>
          <w:t>26</w:t>
        </w:r>
        <w:r w:rsidRPr="00F51235">
          <w:fldChar w:fldCharType="end"/>
        </w:r>
      </w:p>
    </w:sdtContent>
  </w:sdt>
  <w:p w:rsidR="001102FA" w:rsidRDefault="001102F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C65" w:rsidRDefault="00BD5C65">
      <w:r>
        <w:separator/>
      </w:r>
    </w:p>
  </w:footnote>
  <w:footnote w:type="continuationSeparator" w:id="0">
    <w:p w:rsidR="00BD5C65" w:rsidRDefault="00BD5C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2FA" w:rsidRDefault="001102F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1102FA" w:rsidRDefault="001102F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0C11"/>
    <w:rsid w:val="00201B09"/>
    <w:rsid w:val="0020684F"/>
    <w:rsid w:val="00210076"/>
    <w:rsid w:val="00214511"/>
    <w:rsid w:val="00214AC0"/>
    <w:rsid w:val="00216FC9"/>
    <w:rsid w:val="002201C3"/>
    <w:rsid w:val="00220709"/>
    <w:rsid w:val="0022228D"/>
    <w:rsid w:val="002231FE"/>
    <w:rsid w:val="00230DB6"/>
    <w:rsid w:val="0023107D"/>
    <w:rsid w:val="002319D6"/>
    <w:rsid w:val="00232539"/>
    <w:rsid w:val="002335DB"/>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ADB"/>
    <w:rsid w:val="003E2F43"/>
    <w:rsid w:val="003E63F8"/>
    <w:rsid w:val="003E6666"/>
    <w:rsid w:val="003F213B"/>
    <w:rsid w:val="003F31C6"/>
    <w:rsid w:val="003F3FD4"/>
    <w:rsid w:val="003F44D6"/>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5EAF"/>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445D"/>
    <w:rsid w:val="00A16952"/>
    <w:rsid w:val="00A177B3"/>
    <w:rsid w:val="00A2288E"/>
    <w:rsid w:val="00A23FCF"/>
    <w:rsid w:val="00A251D8"/>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488F"/>
    <w:rsid w:val="00A65EAC"/>
    <w:rsid w:val="00A67E64"/>
    <w:rsid w:val="00A70BA9"/>
    <w:rsid w:val="00A7145C"/>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3C4B"/>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C1F"/>
    <w:rsid w:val="00B12DAD"/>
    <w:rsid w:val="00B13028"/>
    <w:rsid w:val="00B14EC3"/>
    <w:rsid w:val="00B17E4B"/>
    <w:rsid w:val="00B17EF7"/>
    <w:rsid w:val="00B20DEB"/>
    <w:rsid w:val="00B22B67"/>
    <w:rsid w:val="00B238C1"/>
    <w:rsid w:val="00B24973"/>
    <w:rsid w:val="00B27A17"/>
    <w:rsid w:val="00B30690"/>
    <w:rsid w:val="00B344D6"/>
    <w:rsid w:val="00B34B0D"/>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6C90"/>
    <w:rsid w:val="00BE75BD"/>
    <w:rsid w:val="00BF1A1D"/>
    <w:rsid w:val="00BF2DDA"/>
    <w:rsid w:val="00BF4AF8"/>
    <w:rsid w:val="00BF5B4F"/>
    <w:rsid w:val="00BF75A2"/>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13627"/>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E0E41"/>
    <w:rsid w:val="00FE2E88"/>
    <w:rsid w:val="00FE2EEE"/>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82AF5-597D-4945-B711-11AFFCDC9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61976</Words>
  <Characters>390452</Characters>
  <Application>Microsoft Office Word</Application>
  <DocSecurity>0</DocSecurity>
  <Lines>3253</Lines>
  <Paragraphs>903</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451525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92</cp:revision>
  <cp:lastPrinted>2016-02-29T00:36:00Z</cp:lastPrinted>
  <dcterms:created xsi:type="dcterms:W3CDTF">2015-12-16T20:53:00Z</dcterms:created>
  <dcterms:modified xsi:type="dcterms:W3CDTF">2017-01-03T13:21:00Z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