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1" w:name="_Toc470601990"/>
      <w:r w:rsidR="00C4539F">
        <w:t>Background</w:t>
      </w:r>
      <w:bookmarkEnd w:id="1"/>
    </w:p>
    <w:p w:rsidR="00C4539F" w:rsidRDefault="00C4539F" w:rsidP="00C4539F">
      <w:pPr>
        <w:pStyle w:val="berschrift2"/>
      </w:pPr>
      <w:bookmarkStart w:id="2" w:name="_Toc47060199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60199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601993"/>
      <w:proofErr w:type="spellStart"/>
      <w:r>
        <w:t>Related</w:t>
      </w:r>
      <w:proofErr w:type="spellEnd"/>
      <w:r>
        <w:t xml:space="preserve"> </w:t>
      </w:r>
      <w:commentRangeStart w:id="5"/>
      <w:r>
        <w:t>Work</w:t>
      </w:r>
      <w:bookmarkEnd w:id="4"/>
      <w:commentRangeEnd w:id="5"/>
      <w:r w:rsidR="006C3FB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This section does not attempt to present a comprehensive overview of any of its topics, as doing so would be out of its scope. It does how</w:t>
      </w:r>
      <w:bookmarkStart w:id="7" w:name="_GoBack"/>
      <w:bookmarkEnd w:id="7"/>
      <w:r>
        <w:t xml:space="preserve">ever mention papers that go more in-depth. </w:t>
      </w:r>
    </w:p>
    <w:p w:rsidR="00C4539F" w:rsidRPr="000D2AD1" w:rsidRDefault="00C4539F" w:rsidP="00C4539F">
      <w:pPr>
        <w:pStyle w:val="berschrift2"/>
        <w:rPr>
          <w:lang w:val="en-US"/>
        </w:rPr>
      </w:pPr>
      <w:bookmarkStart w:id="8" w:name="_Toc470601995"/>
      <w:r w:rsidRPr="000D2AD1">
        <w:rPr>
          <w:lang w:val="en-US"/>
        </w:rPr>
        <w:lastRenderedPageBreak/>
        <w:t>Augmented Reality</w:t>
      </w:r>
      <w:bookmarkEnd w:id="8"/>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9" w:name="_Toc470601996"/>
      <w:proofErr w:type="spellStart"/>
      <w:r>
        <w:t>Definitions</w:t>
      </w:r>
      <w:proofErr w:type="spellEnd"/>
      <w:r>
        <w:t xml:space="preserve"> </w:t>
      </w:r>
      <w:proofErr w:type="spellStart"/>
      <w:r>
        <w:t>and</w:t>
      </w:r>
      <w:proofErr w:type="spellEnd"/>
      <w:r>
        <w:t xml:space="preserve"> </w:t>
      </w:r>
      <w:proofErr w:type="spellStart"/>
      <w:r>
        <w:t>taxonomies</w:t>
      </w:r>
      <w:bookmarkEnd w:id="9"/>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734794" w:rsidP="00734794">
      <w:pPr>
        <w:pStyle w:val="StandardErstzeileneinzug"/>
        <w:jc w:val="center"/>
      </w:pPr>
      <w:r>
        <w:rPr>
          <w:noProof/>
          <w:lang w:val="de-DE"/>
        </w:rPr>
        <w:drawing>
          <wp:inline distT="0" distB="0" distL="0" distR="0" wp14:anchorId="511154C1" wp14:editId="20ED544B">
            <wp:extent cx="5173132" cy="99060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132" cy="990600"/>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10"/>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10"/>
      <w:r w:rsidR="00497094">
        <w:rPr>
          <w:rStyle w:val="Kommentarzeichen"/>
          <w:lang w:val="de-DE"/>
        </w:rPr>
        <w:commentReference w:id="10"/>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1" w:name="_Toc470601997"/>
      <w:r>
        <w:rPr>
          <w:lang w:val="en-US"/>
        </w:rPr>
        <w:t>Approaches</w:t>
      </w:r>
      <w:bookmarkEnd w:id="11"/>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2" w:name="_Toc470601998"/>
      <w:r>
        <w:rPr>
          <w:lang w:val="en-US"/>
        </w:rPr>
        <w:lastRenderedPageBreak/>
        <w:t>Technology</w:t>
      </w:r>
      <w:bookmarkEnd w:id="12"/>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(Calo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w:t>
      </w:r>
      <w:r w:rsidR="0084689D">
        <w:lastRenderedPageBreak/>
        <w:t xml:space="preserve">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3"/>
      <w:r w:rsidR="0084689D">
        <w:t>examples</w:t>
      </w:r>
      <w:commentRangeEnd w:id="13"/>
      <w:r w:rsidR="009F09F6">
        <w:rPr>
          <w:rStyle w:val="Kommentarzeichen"/>
          <w:lang w:val="de-DE"/>
        </w:rPr>
        <w:commentReference w:id="13"/>
      </w:r>
      <w:r w:rsidR="0084689D">
        <w:t>).</w:t>
      </w:r>
    </w:p>
    <w:p w:rsidR="00257711" w:rsidRPr="00257711" w:rsidRDefault="00257711" w:rsidP="00257711">
      <w:pPr>
        <w:pStyle w:val="berschrift4"/>
        <w:rPr>
          <w:lang w:val="en-US"/>
        </w:rPr>
      </w:pPr>
      <w:bookmarkStart w:id="14" w:name="_Toc470601999"/>
      <w:r>
        <w:rPr>
          <w:lang w:val="en-US"/>
        </w:rPr>
        <w:t>Techniques</w:t>
      </w:r>
      <w:bookmarkEnd w:id="14"/>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5"/>
      <w:r w:rsidRPr="00C55CC0">
        <w:t>image</w:t>
      </w:r>
      <w:commentRangeEnd w:id="15"/>
      <w:r>
        <w:rPr>
          <w:rStyle w:val="Kommentarzeichen"/>
          <w:lang w:val="de-DE"/>
        </w:rPr>
        <w:commentReference w:id="15"/>
      </w:r>
      <w:r w:rsidRPr="00C55CC0">
        <w:t>.”</w:t>
      </w:r>
    </w:p>
    <w:p w:rsidR="00C4539F" w:rsidRDefault="00C4539F" w:rsidP="00C4539F">
      <w:pPr>
        <w:pStyle w:val="berschrift3"/>
      </w:pPr>
      <w:bookmarkStart w:id="16" w:name="_Toc470602000"/>
      <w:proofErr w:type="spellStart"/>
      <w:r>
        <w:t>Applications</w:t>
      </w:r>
      <w:bookmarkEnd w:id="16"/>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w:t>
      </w:r>
      <w:r>
        <w:lastRenderedPageBreak/>
        <w:t xml:space="preserve">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7" w:name="_Toc470602001"/>
      <w:r>
        <w:rPr>
          <w:lang w:val="en-US"/>
        </w:rPr>
        <w:t>Commercial</w:t>
      </w:r>
      <w:bookmarkEnd w:id="17"/>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8" w:name="_Toc470602002"/>
      <w:r w:rsidRPr="00C55CC0">
        <w:rPr>
          <w:lang w:val="en-US"/>
        </w:rPr>
        <w:t xml:space="preserve">Education and expertise </w:t>
      </w:r>
      <w:commentRangeStart w:id="19"/>
      <w:r w:rsidRPr="00C55CC0">
        <w:rPr>
          <w:lang w:val="en-US"/>
        </w:rPr>
        <w:t>transfer</w:t>
      </w:r>
      <w:bookmarkEnd w:id="18"/>
      <w:commentRangeEnd w:id="19"/>
      <w:r w:rsidR="00042647">
        <w:rPr>
          <w:rStyle w:val="Kommentarzeichen"/>
          <w:b w:val="0"/>
          <w:bCs w:val="0"/>
        </w:rPr>
        <w:commentReference w:id="19"/>
      </w:r>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w:t>
      </w:r>
      <w:r w:rsidR="00102F43">
        <w:lastRenderedPageBreak/>
        <w:t>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0586B" w:rsidRDefault="00C10FB8" w:rsidP="007D6338">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p>
    <w:p w:rsidR="005B7526" w:rsidRDefault="00B776C4" w:rsidP="005B7526">
      <w:pPr>
        <w:pStyle w:val="StandardErstzeileneinzug"/>
      </w:pPr>
      <w:r>
        <w:t xml:space="preserve">There are multiple </w:t>
      </w:r>
      <w:r w:rsidR="005B7526">
        <w:t>facets</w:t>
      </w:r>
      <w:r>
        <w:t xml:space="preserve"> that work in favor of Augmented Reality for learning.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t xml:space="preserve"> point </w:t>
      </w:r>
      <w:r w:rsidRPr="00B776C4">
        <w:t xml:space="preserve">out, </w:t>
      </w:r>
      <w:r w:rsidR="00F57265" w:rsidRPr="00B776C4">
        <w:t>“augmenting/adding to reality has always been a part of outdoor education</w:t>
      </w:r>
      <w:r w:rsidRPr="00B776C4">
        <w:t>” and using Augm</w:t>
      </w:r>
      <w:r>
        <w:t>ented Reality technology to these</w:t>
      </w:r>
      <w:r w:rsidRPr="00B776C4">
        <w:t xml:space="preserve"> end</w:t>
      </w:r>
      <w:r>
        <w:t>s</w:t>
      </w:r>
      <w:r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Pr="00B417C8"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6C3FBB" w:rsidP="00EE4EF3">
      <w:pPr>
        <w:pStyle w:val="StandardErstzeileneinzug"/>
      </w:pPr>
      <w:r w:rsidRPr="006C3FBB">
        <w:t>Furthermore</w:t>
      </w:r>
      <w:r>
        <w:t>,</w:t>
      </w:r>
      <w:r w:rsidRPr="006C3FBB">
        <w:t xml:space="preserve"> </w:t>
      </w:r>
      <w:r>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6C3FBB">
        <w:rPr>
          <w:noProof/>
        </w:rPr>
        <w:t>(Ternier, Klemke, Kalz, van Ulzen, &amp; Specht, 2012)</w:t>
      </w:r>
      <w:r>
        <w:rPr>
          <w:lang w:val="de-DE"/>
        </w:rPr>
        <w:fldChar w:fldCharType="end"/>
      </w:r>
      <w:r w:rsidRPr="006C3FBB">
        <w:t xml:space="preserve"> cite the concept of immersive learning </w:t>
      </w:r>
      <w:r>
        <w:rPr>
          <w:lang w:val="de-DE"/>
        </w:rPr>
        <w:fldChar w:fldCharType="begin" w:fldLock="1"/>
      </w:r>
      <w:r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6F5ABF">
        <w:rPr>
          <w:noProof/>
        </w:rPr>
        <w:t>(Dede, 2009)</w:t>
      </w:r>
      <w:r>
        <w:rPr>
          <w:lang w:val="de-DE"/>
        </w:rPr>
        <w:fldChar w:fldCharType="end"/>
      </w:r>
      <w:r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Augmented Reality is being used by educators to provide students with pre-</w:t>
      </w:r>
      <w:r w:rsidR="00FB4BB3" w:rsidRPr="00FB4BB3">
        <w:lastRenderedPageBreak/>
        <w:t>packaged learning experiences. 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20" w:name="_Toc470602003"/>
      <w:r w:rsidRPr="000F6C54">
        <w:rPr>
          <w:lang w:val="en-US"/>
        </w:rPr>
        <w:t>Augmented reality games</w:t>
      </w:r>
      <w:bookmarkEnd w:id="20"/>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1"/>
      <w:proofErr w:type="spellStart"/>
      <w:r w:rsidR="00DC66CB">
        <w:t>EyeToy</w:t>
      </w:r>
      <w:commentRangeEnd w:id="21"/>
      <w:proofErr w:type="spellEnd"/>
      <w:r w:rsidR="00DC66CB">
        <w:rPr>
          <w:rStyle w:val="Kommentarzeichen"/>
          <w:lang w:val="de-DE"/>
        </w:rPr>
        <w:commentReference w:id="21"/>
      </w:r>
      <w:r w:rsidR="00DC66CB">
        <w:t xml:space="preserve">, </w:t>
      </w:r>
      <w:commentRangeStart w:id="22"/>
      <w:r w:rsidR="00815BCE">
        <w:t xml:space="preserve">efforts were for a long time focused on research, until the advance of smartphone technology, which made devices with Augmented Reality capabilities widely available (see 2.1), gave developers a venue </w:t>
      </w:r>
      <w:commentRangeEnd w:id="22"/>
      <w:r w:rsidR="000509AF">
        <w:rPr>
          <w:rStyle w:val="Kommentarzeichen"/>
          <w:lang w:val="de-DE"/>
        </w:rPr>
        <w:commentReference w:id="22"/>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3"/>
      <w:r w:rsidR="00EF62C5">
        <w:t>landmarks</w:t>
      </w:r>
      <w:commentRangeEnd w:id="23"/>
      <w:r w:rsidR="00D677EA">
        <w:rPr>
          <w:rStyle w:val="Kommentarzeichen"/>
          <w:lang w:val="de-DE"/>
        </w:rPr>
        <w:commentReference w:id="23"/>
      </w:r>
      <w:r w:rsidR="00EF62C5">
        <w:t>.</w:t>
      </w:r>
      <w:r w:rsidR="00C42F11">
        <w:t xml:space="preserve"> </w:t>
      </w:r>
      <w:r w:rsidR="00D677EA">
        <w:t xml:space="preserve">Most recently, </w:t>
      </w:r>
      <w:commentRangeStart w:id="24"/>
      <w:r w:rsidR="00D677EA">
        <w:t>Pokémon GO</w:t>
      </w:r>
      <w:commentRangeEnd w:id="24"/>
      <w:r w:rsidR="00D677EA">
        <w:rPr>
          <w:rStyle w:val="Kommentarzeichen"/>
          <w:lang w:val="de-DE"/>
        </w:rPr>
        <w:commentReference w:id="24"/>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5"/>
      <w:r w:rsidR="008076E8" w:rsidRPr="008076E8">
        <w:t>play</w:t>
      </w:r>
      <w:commentRangeEnd w:id="25"/>
      <w:r w:rsidR="008076E8">
        <w:rPr>
          <w:rStyle w:val="Kommentarzeichen"/>
          <w:lang w:val="de-DE"/>
        </w:rPr>
        <w:commentReference w:id="25"/>
      </w:r>
      <w:r w:rsidR="008076E8" w:rsidRPr="008076E8">
        <w:t>.</w:t>
      </w:r>
      <w:r w:rsidR="008076E8">
        <w:t>”</w:t>
      </w:r>
    </w:p>
    <w:p w:rsidR="00C4539F" w:rsidRDefault="00C4539F" w:rsidP="00C4539F">
      <w:pPr>
        <w:pStyle w:val="berschrift3"/>
        <w:rPr>
          <w:lang w:val="en-US"/>
        </w:rPr>
      </w:pPr>
      <w:bookmarkStart w:id="26" w:name="_Toc470602004"/>
      <w:r w:rsidRPr="000F6C54">
        <w:rPr>
          <w:lang w:val="en-US"/>
        </w:rPr>
        <w:lastRenderedPageBreak/>
        <w:t>Outlook</w:t>
      </w:r>
      <w:bookmarkEnd w:id="26"/>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7" w:name="_Toc470602005"/>
      <w:r w:rsidRPr="000F6C54">
        <w:rPr>
          <w:lang w:val="en-US"/>
        </w:rPr>
        <w:t>Possibilities</w:t>
      </w:r>
      <w:bookmarkEnd w:id="27"/>
    </w:p>
    <w:p w:rsidR="0019360B" w:rsidRDefault="0019360B" w:rsidP="0019360B">
      <w:pPr>
        <w:pStyle w:val="StandardErstzeileneinzug"/>
      </w:pPr>
      <w:r w:rsidRPr="0019360B">
        <w:rPr>
          <w:b/>
        </w:rPr>
        <w:t>Engagement + motivation</w:t>
      </w:r>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 xml:space="preserve">: </w:t>
      </w:r>
      <w:r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t>.”</w:t>
      </w:r>
    </w:p>
    <w:p w:rsidR="0019360B" w:rsidRDefault="0019360B" w:rsidP="00865790">
      <w:pPr>
        <w:pStyle w:val="StandardErstzeileneinzug"/>
      </w:pPr>
      <w:r>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19360B">
        <w:rPr>
          <w:noProof/>
        </w:rPr>
        <w:t>(Schmitz et al., 2012)</w:t>
      </w:r>
      <w:r>
        <w:fldChar w:fldCharType="end"/>
      </w:r>
      <w:r w:rsidRPr="0019360B">
        <w:t xml:space="preserve">: </w:t>
      </w:r>
      <w:r w:rsidR="00865790">
        <w:t>“</w:t>
      </w:r>
      <w:r w:rsidR="00865790" w:rsidRPr="00865790">
        <w:t>Motivational effects of mobile game design patterns used within AR learning games</w:t>
      </w:r>
      <w:r w:rsidR="00865790">
        <w:t>”: Patterns include AR itself – “Students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Pr="00865790" w:rsidRDefault="00141BBA" w:rsidP="00A87E73">
      <w:pPr>
        <w:pStyle w:val="StandardErstzeileneinzug"/>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Pr="00E762AE">
        <w:rPr>
          <w:bCs/>
        </w:rPr>
        <w:t xml:space="preserve"> et al. </w:t>
      </w:r>
      <w:r w:rsidRPr="00540616">
        <w:rPr>
          <w:bCs/>
        </w:rPr>
        <w:t>(</w:t>
      </w:r>
      <w:proofErr w:type="spellStart"/>
      <w:r w:rsidRPr="00540616">
        <w:rPr>
          <w:bCs/>
        </w:rPr>
        <w:t>über</w:t>
      </w:r>
      <w:proofErr w:type="spellEnd"/>
      <w:r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Pr="00540616">
        <w:rPr>
          <w:bCs/>
        </w:rPr>
        <w:t>): “The study [</w:t>
      </w:r>
      <w:proofErr w:type="spellStart"/>
      <w:r w:rsidRPr="00540616">
        <w:rPr>
          <w:bCs/>
        </w:rPr>
        <w:t>Luckin</w:t>
      </w:r>
      <w:proofErr w:type="spellEnd"/>
      <w:r w:rsidRPr="00540616">
        <w:rPr>
          <w:bCs/>
        </w:rPr>
        <w:t xml:space="preserve"> &amp; Stanton Fraser] identified other positive aspec</w:t>
      </w:r>
      <w:r w:rsidRPr="00141BBA">
        <w:t xml:space="preserve">ts of AR, including </w:t>
      </w:r>
      <w:r w:rsidR="00A87E73">
        <w:t xml:space="preserve">(…) </w:t>
      </w:r>
      <w:r w:rsidRPr="00141BBA">
        <w:t xml:space="preserve">the </w:t>
      </w:r>
      <w:r w:rsidRPr="00A87E73">
        <w:t xml:space="preserve">immersive and engaging nature of 3D AR </w:t>
      </w:r>
      <w:proofErr w:type="spellStart"/>
      <w:r w:rsidRPr="00A87E73">
        <w:t>visualisations</w:t>
      </w:r>
      <w:proofErr w:type="spellEnd"/>
      <w:r w:rsidRPr="00A87E73">
        <w:t>.”</w:t>
      </w:r>
    </w:p>
    <w:p w:rsidR="0019360B" w:rsidRDefault="0019360B" w:rsidP="00141BBA">
      <w:pPr>
        <w:pStyle w:val="StandardErstzeileneinzug"/>
      </w:pPr>
      <w:r w:rsidRPr="00865790">
        <w:rPr>
          <w:b/>
        </w:rPr>
        <w:t>Cognitive</w:t>
      </w:r>
      <w:r w:rsidRPr="00865790">
        <w:t>:</w:t>
      </w:r>
      <w:r w:rsidR="00865790">
        <w:t xml:space="preserve"> </w:t>
      </w:r>
      <w:r w:rsidR="00865790">
        <w:fldChar w:fldCharType="begin" w:fldLock="1"/>
      </w:r>
      <w:r w:rsidR="00A87E73">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865790">
        <w:fldChar w:fldCharType="separate"/>
      </w:r>
      <w:r w:rsidR="00865790" w:rsidRPr="00865790">
        <w:rPr>
          <w:noProof/>
        </w:rPr>
        <w:t>(Schmitz et al., 2012)</w:t>
      </w:r>
      <w:r w:rsidR="00865790">
        <w:fldChar w:fldCharType="end"/>
      </w:r>
      <w:r w:rsidR="00865790">
        <w:t>: “</w:t>
      </w:r>
      <w:r w:rsidR="00865790" w:rsidRPr="00865790">
        <w:t>Cognitive effects of patterns used within AR learning games.</w:t>
      </w:r>
      <w:r w:rsidR="00865790">
        <w:t>”: Patterns include AR itself – “Students notice and discuss geometrical aspects of the world (</w:t>
      </w:r>
      <w:proofErr w:type="spellStart"/>
      <w:r w:rsidR="00865790">
        <w:t>Wijers</w:t>
      </w:r>
      <w:proofErr w:type="spellEnd"/>
      <w:r w:rsidR="00865790">
        <w:t xml:space="preserve"> et al., 2010). Students can describe and illustrate a disease model (Rosenbaum et al., 2006). Students reflect on the process of </w:t>
      </w:r>
      <w:proofErr w:type="gramStart"/>
      <w:r w:rsidR="00865790">
        <w:t>learning</w:t>
      </w:r>
      <w:proofErr w:type="gramEnd"/>
      <w:r w:rsidR="00865790">
        <w:t xml:space="preserve"> (</w:t>
      </w:r>
      <w:proofErr w:type="spellStart"/>
      <w:r w:rsidR="00865790">
        <w:t>Costabile</w:t>
      </w:r>
      <w:proofErr w:type="spellEnd"/>
      <w:r w:rsidR="00865790">
        <w:t xml:space="preserve"> et al., 2008).”</w:t>
      </w:r>
    </w:p>
    <w:p w:rsidR="00141BBA" w:rsidRDefault="00141BBA" w:rsidP="00A87E73">
      <w:pPr>
        <w:pStyle w:val="StandardErstzeileneinzug"/>
      </w:pPr>
      <w:r w:rsidRPr="00141BBA">
        <w:rPr>
          <w:b/>
        </w:rPr>
        <w:t>Societal</w:t>
      </w:r>
      <w:r>
        <w:t xml:space="preserve">: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Pr="00EB09FA">
        <w:t xml:space="preserve"> </w:t>
      </w:r>
      <w:proofErr w:type="spellStart"/>
      <w:r w:rsidRPr="00EB09FA">
        <w:t>sieht</w:t>
      </w:r>
      <w:proofErr w:type="spellEnd"/>
      <w:r w:rsidRPr="00EB09FA">
        <w:t xml:space="preserve"> </w:t>
      </w:r>
      <w:proofErr w:type="spellStart"/>
      <w:r w:rsidRPr="00EB09FA">
        <w:t>großen</w:t>
      </w:r>
      <w:proofErr w:type="spellEnd"/>
      <w:r w:rsidRPr="00EB09FA">
        <w:t xml:space="preserve"> </w:t>
      </w:r>
      <w:proofErr w:type="spellStart"/>
      <w:r w:rsidRPr="00EB09FA">
        <w:t>Einfluss</w:t>
      </w:r>
      <w:proofErr w:type="spellEnd"/>
      <w:r w:rsidRPr="00EB09FA">
        <w:t xml:space="preserve"> auf </w:t>
      </w:r>
      <w:proofErr w:type="spellStart"/>
      <w:r w:rsidRPr="00EB09FA">
        <w:t>Gesellschaft</w:t>
      </w:r>
      <w:proofErr w:type="spellEnd"/>
      <w:r w:rsidRPr="00EB09FA">
        <w:t xml:space="preserve"> </w:t>
      </w:r>
      <w:proofErr w:type="spellStart"/>
      <w:r w:rsidRPr="00EB09FA">
        <w:t>voraus</w:t>
      </w:r>
      <w:proofErr w:type="spellEnd"/>
      <w:r w:rsidRPr="00EB09FA">
        <w:t xml:space="preserve">: </w:t>
      </w:r>
      <w:r>
        <w:t>“</w:t>
      </w:r>
      <w:r w:rsidRPr="00EB09FA">
        <w:t xml:space="preserve">There will be many databases registered with the real world and able to be superimposed onto it, for example, labels, maps, notes to specific people, diagrams, paths, </w:t>
      </w:r>
      <w:proofErr w:type="spellStart"/>
      <w:r w:rsidRPr="00EB09FA">
        <w:t>grafitti</w:t>
      </w:r>
      <w:proofErr w:type="spellEnd"/>
      <w:r w:rsidRPr="00EB09FA">
        <w:t xml:space="preserve">, as well as the actions from earlier times recorded in the experience database. It will be a matter of choice which, if any, of these overlays </w:t>
      </w:r>
      <w:proofErr w:type="gramStart"/>
      <w:r w:rsidRPr="00EB09FA">
        <w:t>are</w:t>
      </w:r>
      <w:proofErr w:type="gramEnd"/>
      <w:r w:rsidRPr="00EB09FA">
        <w:t xml:space="preserve"> viewed by each human at any given moment.”</w:t>
      </w:r>
    </w:p>
    <w:p w:rsidR="003901BD" w:rsidRDefault="003901BD" w:rsidP="00141BBA">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046233">
        <w:t>“AR can confer new information in real time or alter the user’s actual experience or skillset (...). AR also changes the experiences of the people around the user, whose features and actions may now be recorded and analyzed (...). Moreover, AR makes it possible that two or more people perceive the same environment differently. (...) For some populations—notably, those living with disabilities—AR may fully or partially replace a sense. (...) These and other non-mainstream experiences must be kept firmly in mind when enumerating the potential use cases of AR, and as we contemplate rules and possible exceptions.”</w:t>
      </w:r>
    </w:p>
    <w:p w:rsidR="003901BD" w:rsidRDefault="00A87E73" w:rsidP="003901BD">
      <w:pPr>
        <w:pStyle w:val="StandardErstzeileneinzug"/>
        <w:rPr>
          <w:lang w:val="de-DE"/>
        </w:rPr>
      </w:pPr>
      <w:r w:rsidRPr="003901BD">
        <w:rPr>
          <w:b/>
          <w:lang w:val="de-DE"/>
        </w:rPr>
        <w:lastRenderedPageBreak/>
        <w:t xml:space="preserve">Sollte </w:t>
      </w:r>
      <w:proofErr w:type="spellStart"/>
      <w:r w:rsidRPr="003901BD">
        <w:rPr>
          <w:b/>
          <w:lang w:val="de-DE"/>
        </w:rPr>
        <w:t>evtl</w:t>
      </w:r>
      <w:proofErr w:type="spellEnd"/>
      <w:r w:rsidRPr="003901BD">
        <w:rPr>
          <w:b/>
          <w:lang w:val="de-DE"/>
        </w:rPr>
        <w:t xml:space="preserve"> in Education</w:t>
      </w:r>
      <w:r w:rsidRPr="003901BD">
        <w:rPr>
          <w:lang w:val="de-DE"/>
        </w:rPr>
        <w:t xml:space="preserve">: </w:t>
      </w:r>
      <w:r w:rsidR="003901BD">
        <w:fldChar w:fldCharType="begin" w:fldLock="1"/>
      </w:r>
      <w:r w:rsidR="003901BD"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3901BD">
        <w:fldChar w:fldCharType="separate"/>
      </w:r>
      <w:r w:rsidR="003901BD" w:rsidRPr="00DF73B2">
        <w:rPr>
          <w:noProof/>
          <w:lang w:val="de-DE"/>
        </w:rPr>
        <w:t>(Radu, 2014)</w:t>
      </w:r>
      <w:r w:rsidR="003901BD">
        <w:fldChar w:fldCharType="end"/>
      </w:r>
      <w:r w:rsidR="003901BD" w:rsidRPr="00DF73B2">
        <w:rPr>
          <w:lang w:val="de-DE"/>
        </w:rPr>
        <w:t xml:space="preserve">: </w:t>
      </w:r>
      <w:r w:rsidR="003901BD" w:rsidRPr="00DF73B2">
        <w:rPr>
          <w:i/>
          <w:lang w:val="de-DE"/>
        </w:rPr>
        <w:t>Beispiele für erfolgreiche Anwendung/Ergebnisse in Bereichen</w:t>
      </w:r>
      <w:r w:rsidR="003901BD" w:rsidRPr="00DF73B2">
        <w:rPr>
          <w:lang w:val="de-DE"/>
        </w:rPr>
        <w:t xml:space="preserve">: </w:t>
      </w:r>
    </w:p>
    <w:p w:rsidR="003901BD" w:rsidRDefault="003901BD" w:rsidP="003901BD">
      <w:pPr>
        <w:pStyle w:val="StandardErstzeileneinzug"/>
        <w:numPr>
          <w:ilvl w:val="0"/>
          <w:numId w:val="2"/>
        </w:numPr>
      </w:pPr>
      <w:r w:rsidRPr="00DF73B2">
        <w:t>Learning spatial structure and function</w:t>
      </w:r>
    </w:p>
    <w:p w:rsidR="003901BD" w:rsidRDefault="003901BD" w:rsidP="003901BD">
      <w:pPr>
        <w:pStyle w:val="StandardErstzeileneinzug"/>
        <w:numPr>
          <w:ilvl w:val="0"/>
          <w:numId w:val="2"/>
        </w:numPr>
      </w:pPr>
      <w:r w:rsidRPr="00DF73B2">
        <w:t>Learning language associations</w:t>
      </w:r>
    </w:p>
    <w:p w:rsidR="003901BD" w:rsidRDefault="003901BD" w:rsidP="003901BD">
      <w:pPr>
        <w:pStyle w:val="StandardErstzeileneinzug"/>
        <w:numPr>
          <w:ilvl w:val="0"/>
          <w:numId w:val="2"/>
        </w:numPr>
      </w:pPr>
      <w:r w:rsidRPr="00DF73B2">
        <w:t>Long-term memory retention</w:t>
      </w:r>
    </w:p>
    <w:p w:rsidR="003901BD" w:rsidRDefault="003901BD" w:rsidP="003901BD">
      <w:pPr>
        <w:pStyle w:val="StandardErstzeileneinzug"/>
        <w:numPr>
          <w:ilvl w:val="0"/>
          <w:numId w:val="2"/>
        </w:numPr>
      </w:pPr>
      <w:r w:rsidRPr="00DF73B2">
        <w:t>Improved physical task performance</w:t>
      </w:r>
    </w:p>
    <w:p w:rsidR="003901BD" w:rsidRDefault="003901BD" w:rsidP="003901BD">
      <w:pPr>
        <w:pStyle w:val="StandardErstzeileneinzug"/>
        <w:numPr>
          <w:ilvl w:val="0"/>
          <w:numId w:val="2"/>
        </w:numPr>
      </w:pPr>
      <w:r w:rsidRPr="00DF73B2">
        <w:t>Improved collaboration</w:t>
      </w:r>
    </w:p>
    <w:p w:rsidR="00A87E73" w:rsidRPr="00A87E73" w:rsidRDefault="003901BD" w:rsidP="003901BD">
      <w:pPr>
        <w:pStyle w:val="StandardErstzeileneinzug"/>
        <w:numPr>
          <w:ilvl w:val="0"/>
          <w:numId w:val="2"/>
        </w:numPr>
      </w:pPr>
      <w:r w:rsidRPr="00DF73B2">
        <w:t>Increased student motivation</w:t>
      </w:r>
    </w:p>
    <w:p w:rsidR="00F35A24" w:rsidRPr="00A87E73" w:rsidRDefault="00A87E73" w:rsidP="00A87E73">
      <w:pPr>
        <w:pStyle w:val="StandardErstzeileneinzug"/>
      </w:pPr>
      <w:proofErr w:type="spellStart"/>
      <w:r w:rsidRPr="00A87E73">
        <w:rPr>
          <w:b/>
        </w:rPr>
        <w:t>Keine</w:t>
      </w:r>
      <w:proofErr w:type="spellEnd"/>
      <w:r w:rsidRPr="00A87E73">
        <w:rPr>
          <w:b/>
        </w:rPr>
        <w:t xml:space="preserve"> </w:t>
      </w:r>
      <w:proofErr w:type="spellStart"/>
      <w:r w:rsidRPr="00A87E73">
        <w:rPr>
          <w:b/>
        </w:rPr>
        <w:t>Ahnung</w:t>
      </w:r>
      <w:proofErr w:type="spellEnd"/>
      <w:r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141BBA" w:rsidRDefault="009779A3" w:rsidP="00141BBA">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046233">
        <w:t>Unique affordances of AR include</w:t>
      </w:r>
      <w:r w:rsidR="00B24973" w:rsidRPr="00B24973">
        <w:t xml:space="preserve"> the greater fidelity of real world environments, the ability of team members to talk face-to-face with its bandwidth on multiple dimensions, and the capacity to promote kinesthetic learning through physical movement through richly sensory spatial contexts.”</w:t>
      </w:r>
    </w:p>
    <w:p w:rsidR="00042647" w:rsidRPr="009329A7" w:rsidRDefault="00A87E73" w:rsidP="003901BD">
      <w:pPr>
        <w:pStyle w:val="StandardErstzeileneinzug"/>
      </w:pPr>
      <w:r>
        <w:rPr>
          <w:bCs/>
        </w:rPr>
        <w:fldChar w:fldCharType="begin" w:fldLock="1"/>
      </w:r>
      <w:r w:rsidR="00046233">
        <w:rPr>
          <w:bCs/>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Pr>
          <w:bCs/>
        </w:rPr>
        <w:fldChar w:fldCharType="separate"/>
      </w:r>
      <w:r w:rsidRPr="00A87E73">
        <w:rPr>
          <w:bCs/>
          <w:noProof/>
        </w:rPr>
        <w:t>(Schmitz et al., 2012)</w:t>
      </w:r>
      <w:r>
        <w:rPr>
          <w:bCs/>
        </w:rPr>
        <w:fldChar w:fldCharType="end"/>
      </w:r>
      <w:r>
        <w:rPr>
          <w:bCs/>
        </w:rPr>
        <w:t xml:space="preserve">: </w:t>
      </w:r>
      <w:r w:rsidRPr="00540616">
        <w:rPr>
          <w:bCs/>
        </w:rPr>
        <w:t>“The study [</w:t>
      </w:r>
      <w:proofErr w:type="spellStart"/>
      <w:r w:rsidRPr="00540616">
        <w:rPr>
          <w:bCs/>
        </w:rPr>
        <w:t>Luckin</w:t>
      </w:r>
      <w:proofErr w:type="spellEnd"/>
      <w:r w:rsidRPr="00540616">
        <w:rPr>
          <w:bCs/>
        </w:rPr>
        <w:t xml:space="preserve"> &amp; Stanton Fraser] identified other positive aspec</w:t>
      </w:r>
      <w:r w:rsidRPr="00141BBA">
        <w:t xml:space="preserve">ts of AR, including ease of use by young children, fun factor, </w:t>
      </w:r>
      <w:proofErr w:type="gramStart"/>
      <w:r w:rsidRPr="00141BBA">
        <w:t>flexibility</w:t>
      </w:r>
      <w:proofErr w:type="gramEnd"/>
      <w:r w:rsidRPr="00141BBA">
        <w:t xml:space="preserve"> across age groups and subject domains, ease of use in reference to installation/mobility of hardware, and the </w:t>
      </w:r>
      <w:r w:rsidRPr="00A87E73">
        <w:t xml:space="preserve">immersive and engaging nature of 3D AR </w:t>
      </w:r>
      <w:proofErr w:type="spellStart"/>
      <w:r w:rsidRPr="00A87E73">
        <w:t>visualisations</w:t>
      </w:r>
      <w:proofErr w:type="spellEnd"/>
      <w:r w:rsidRPr="00A87E73">
        <w:t>.”</w:t>
      </w:r>
    </w:p>
    <w:p w:rsidR="00C4539F" w:rsidRDefault="00C4539F" w:rsidP="00C4539F">
      <w:pPr>
        <w:pStyle w:val="berschrift4"/>
        <w:rPr>
          <w:lang w:val="en-US"/>
        </w:rPr>
      </w:pPr>
      <w:bookmarkStart w:id="28" w:name="_Toc470602006"/>
      <w:r w:rsidRPr="000F6C54">
        <w:rPr>
          <w:lang w:val="en-US"/>
        </w:rPr>
        <w:t>Limitations</w:t>
      </w:r>
      <w:bookmarkEnd w:id="28"/>
    </w:p>
    <w:p w:rsidR="00046233" w:rsidRPr="00046233" w:rsidRDefault="00046233" w:rsidP="00046233">
      <w:pPr>
        <w:pStyle w:val="StandardErstzeileneinzug"/>
        <w:tabs>
          <w:tab w:val="left" w:pos="5640"/>
        </w:tabs>
      </w:pPr>
      <w:r>
        <w:fldChar w:fldCharType="begin" w:fldLock="1"/>
      </w:r>
      <w:r w:rsidR="0015055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046233">
        <w:rPr>
          <w:noProof/>
        </w:rPr>
        <w:t>(Azuma et al., 2001)</w:t>
      </w:r>
      <w:r>
        <w:fldChar w:fldCharType="end"/>
      </w:r>
      <w:r>
        <w:t xml:space="preserve"> sees three groups of obstacles: “</w:t>
      </w:r>
      <w:r w:rsidRPr="00046233">
        <w:t>technological limitations, user interface limitations, and social acceptance issues.”</w:t>
      </w:r>
    </w:p>
    <w:p w:rsidR="007C21E0" w:rsidRDefault="00046233" w:rsidP="00046233">
      <w:pPr>
        <w:pStyle w:val="StandardErstzeileneinzug"/>
        <w:tabs>
          <w:tab w:val="left" w:pos="5640"/>
        </w:tabs>
      </w:pPr>
      <w:r w:rsidRPr="00046233">
        <w:rPr>
          <w:b/>
        </w:rPr>
        <w:t>Technological</w:t>
      </w:r>
      <w:r>
        <w:t xml:space="preserve">: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7C21E0">
        <w:t xml:space="preserve">: </w:t>
      </w:r>
      <w:r w:rsidR="007C21E0" w:rsidRPr="007C21E0">
        <w:t>“</w:t>
      </w:r>
      <w:r w:rsidR="007C21E0" w:rsidRPr="00046233">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282579"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w:t>
      </w:r>
      <w:r w:rsidR="00EB09FA" w:rsidRPr="00046233">
        <w:t xml:space="preserve">related to the environment, capturing, augmentation, display, and individual user differences.” -&gt; </w:t>
      </w:r>
      <w:proofErr w:type="spellStart"/>
      <w:r w:rsidR="00EB09FA" w:rsidRPr="00046233">
        <w:t>Genauere</w:t>
      </w:r>
      <w:proofErr w:type="spellEnd"/>
      <w:r w:rsidR="00EB09FA" w:rsidRPr="00046233">
        <w:t xml:space="preserve"> </w:t>
      </w:r>
      <w:proofErr w:type="spellStart"/>
      <w:r w:rsidR="00EB09FA" w:rsidRPr="00046233">
        <w:t>Klassifizierung</w:t>
      </w:r>
      <w:proofErr w:type="spellEnd"/>
      <w:r w:rsidR="00EB09FA" w:rsidRPr="00046233">
        <w:t xml:space="preserve"> </w:t>
      </w:r>
      <w:proofErr w:type="spellStart"/>
      <w:r w:rsidR="00EB09FA" w:rsidRPr="00046233">
        <w:t>auch</w:t>
      </w:r>
      <w:proofErr w:type="spellEnd"/>
      <w:r w:rsidR="00EB09FA" w:rsidRPr="00046233">
        <w:t xml:space="preserve"> in Research Diary</w:t>
      </w:r>
    </w:p>
    <w:p w:rsidR="00110DF4" w:rsidRPr="00110DF4" w:rsidRDefault="00110DF4" w:rsidP="00110DF4">
      <w:pPr>
        <w:pStyle w:val="StandardErstzeileneinzug"/>
      </w:pPr>
      <w:r w:rsidRPr="00110DF4">
        <w:fldChar w:fldCharType="begin" w:fldLock="1"/>
      </w:r>
      <w:r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10DF4">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10DF4">
        <w:fldChar w:fldCharType="separate"/>
      </w:r>
      <w:r w:rsidRPr="00110DF4">
        <w:rPr>
          <w:noProof/>
          <w:lang w:val="de-DE"/>
        </w:rPr>
        <w:t>(Dunleavy et al., 2009)</w:t>
      </w:r>
      <w:r w:rsidRPr="00110DF4">
        <w:fldChar w:fldCharType="end"/>
      </w:r>
      <w:r w:rsidRPr="00110DF4">
        <w:rPr>
          <w:lang w:val="de-DE"/>
        </w:rPr>
        <w:t xml:space="preserve"> erwähnt Wetter als Störungsfaktor (</w:t>
      </w:r>
      <w:r w:rsidRPr="00110DF4">
        <w:fldChar w:fldCharType="begin" w:fldLock="1"/>
      </w:r>
      <w:r w:rsidRPr="00110DF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lang w:val="de-DE"/>
        </w:rPr>
        <w:t>(FitzGerald et al., 2013)</w:t>
      </w:r>
      <w:r w:rsidRPr="00110DF4">
        <w:fldChar w:fldCharType="end"/>
      </w:r>
      <w:r w:rsidRPr="00110DF4">
        <w:rPr>
          <w:lang w:val="de-DE"/>
        </w:rPr>
        <w:t>: “Top-</w:t>
      </w:r>
      <w:proofErr w:type="spellStart"/>
      <w:r w:rsidRPr="00110DF4">
        <w:rPr>
          <w:lang w:val="de-DE"/>
        </w:rPr>
        <w:t>of</w:t>
      </w:r>
      <w:proofErr w:type="spellEnd"/>
      <w:r w:rsidRPr="00110DF4">
        <w:rPr>
          <w:lang w:val="de-DE"/>
        </w:rPr>
        <w:t>-</w:t>
      </w:r>
      <w:proofErr w:type="spellStart"/>
      <w:r w:rsidRPr="00110DF4">
        <w:rPr>
          <w:lang w:val="de-DE"/>
        </w:rPr>
        <w:t>the</w:t>
      </w:r>
      <w:proofErr w:type="spellEnd"/>
      <w:r w:rsidRPr="00110DF4">
        <w:rPr>
          <w:lang w:val="de-DE"/>
        </w:rPr>
        <w:t xml:space="preserve">-range </w:t>
      </w:r>
      <w:proofErr w:type="spellStart"/>
      <w:r w:rsidRPr="00110DF4">
        <w:rPr>
          <w:lang w:val="de-DE"/>
        </w:rPr>
        <w:t>geolocation</w:t>
      </w:r>
      <w:proofErr w:type="spellEnd"/>
      <w:r w:rsidRPr="00110DF4">
        <w:rPr>
          <w:lang w:val="de-DE"/>
        </w:rPr>
        <w:t xml:space="preserve"> </w:t>
      </w:r>
      <w:proofErr w:type="spellStart"/>
      <w:r w:rsidRPr="00110DF4">
        <w:rPr>
          <w:lang w:val="de-DE"/>
        </w:rPr>
        <w:t>systems</w:t>
      </w:r>
      <w:proofErr w:type="spellEnd"/>
      <w:r w:rsidRPr="00110DF4">
        <w:rPr>
          <w:lang w:val="de-DE"/>
        </w:rPr>
        <w:t xml:space="preserve"> </w:t>
      </w:r>
      <w:proofErr w:type="spellStart"/>
      <w:r w:rsidRPr="00110DF4">
        <w:rPr>
          <w:lang w:val="de-DE"/>
        </w:rPr>
        <w:t>are</w:t>
      </w:r>
      <w:proofErr w:type="spellEnd"/>
      <w:r w:rsidRPr="00110DF4">
        <w:rPr>
          <w:lang w:val="de-DE"/>
        </w:rPr>
        <w:t xml:space="preserve"> (...) </w:t>
      </w:r>
      <w:proofErr w:type="spellStart"/>
      <w:r w:rsidRPr="00110DF4">
        <w:rPr>
          <w:lang w:val="de-DE"/>
        </w:rPr>
        <w:t>very</w:t>
      </w:r>
      <w:proofErr w:type="spellEnd"/>
      <w:r w:rsidRPr="00110DF4">
        <w:rPr>
          <w:lang w:val="de-DE"/>
        </w:rPr>
        <w:t xml:space="preserve"> expensive: </w:t>
      </w:r>
      <w:proofErr w:type="spellStart"/>
      <w:r w:rsidRPr="00110DF4">
        <w:rPr>
          <w:lang w:val="de-DE"/>
        </w:rPr>
        <w:t>cheaper</w:t>
      </w:r>
      <w:proofErr w:type="spellEnd"/>
      <w:r w:rsidRPr="00110DF4">
        <w:rPr>
          <w:lang w:val="de-DE"/>
        </w:rPr>
        <w:t xml:space="preserve"> </w:t>
      </w:r>
      <w:proofErr w:type="spellStart"/>
      <w:r w:rsidRPr="00110DF4">
        <w:rPr>
          <w:lang w:val="de-DE"/>
        </w:rPr>
        <w:t>tools</w:t>
      </w:r>
      <w:proofErr w:type="spellEnd"/>
      <w:r w:rsidRPr="00110DF4">
        <w:rPr>
          <w:lang w:val="de-DE"/>
        </w:rPr>
        <w:t xml:space="preserve"> </w:t>
      </w:r>
      <w:proofErr w:type="spellStart"/>
      <w:r w:rsidRPr="00110DF4">
        <w:rPr>
          <w:lang w:val="de-DE"/>
        </w:rPr>
        <w:t>are</w:t>
      </w:r>
      <w:proofErr w:type="spellEnd"/>
      <w:r w:rsidRPr="00110DF4">
        <w:rPr>
          <w:lang w:val="de-DE"/>
        </w:rPr>
        <w:t xml:space="preserve"> </w:t>
      </w:r>
      <w:proofErr w:type="spellStart"/>
      <w:r w:rsidRPr="00110DF4">
        <w:rPr>
          <w:lang w:val="de-DE"/>
        </w:rPr>
        <w:t>only</w:t>
      </w:r>
      <w:proofErr w:type="spellEnd"/>
      <w:r w:rsidRPr="00110DF4">
        <w:rPr>
          <w:lang w:val="de-DE"/>
        </w:rPr>
        <w:t xml:space="preserve"> </w:t>
      </w:r>
      <w:proofErr w:type="spellStart"/>
      <w:r w:rsidRPr="00110DF4">
        <w:rPr>
          <w:lang w:val="de-DE"/>
        </w:rPr>
        <w:t>accurate</w:t>
      </w:r>
      <w:proofErr w:type="spellEnd"/>
      <w:r w:rsidRPr="00110DF4">
        <w:rPr>
          <w:lang w:val="de-DE"/>
        </w:rPr>
        <w:t xml:space="preserve"> </w:t>
      </w:r>
      <w:proofErr w:type="spellStart"/>
      <w:r w:rsidRPr="00110DF4">
        <w:rPr>
          <w:lang w:val="de-DE"/>
        </w:rPr>
        <w:t>to</w:t>
      </w:r>
      <w:proofErr w:type="spellEnd"/>
      <w:r w:rsidRPr="00110DF4">
        <w:rPr>
          <w:lang w:val="de-DE"/>
        </w:rPr>
        <w:t xml:space="preserve"> </w:t>
      </w:r>
      <w:proofErr w:type="spellStart"/>
      <w:r w:rsidRPr="00110DF4">
        <w:rPr>
          <w:lang w:val="de-DE"/>
        </w:rPr>
        <w:t>several</w:t>
      </w:r>
      <w:proofErr w:type="spellEnd"/>
      <w:r w:rsidRPr="00110DF4">
        <w:rPr>
          <w:lang w:val="de-DE"/>
        </w:rPr>
        <w:t xml:space="preserve"> </w:t>
      </w:r>
      <w:proofErr w:type="spellStart"/>
      <w:r w:rsidRPr="00110DF4">
        <w:rPr>
          <w:lang w:val="de-DE"/>
        </w:rPr>
        <w:t>metres</w:t>
      </w:r>
      <w:proofErr w:type="spellEnd"/>
      <w:r w:rsidRPr="00110DF4">
        <w:rPr>
          <w:lang w:val="de-DE"/>
        </w:rPr>
        <w:t xml:space="preserve">. </w:t>
      </w:r>
      <w:r w:rsidRPr="00110DF4">
        <w:t>Their accuracy can be further degraded by local environmental conditions (...).” “Other concerns include ensuring the screen can be read in bright sunlight and that the device can function in the rain or after being dropped.”)</w:t>
      </w:r>
    </w:p>
    <w:p w:rsidR="00110DF4" w:rsidRPr="00FC0E0E" w:rsidRDefault="00110DF4" w:rsidP="00110DF4">
      <w:pPr>
        <w:pStyle w:val="StandardErstzeileneinzug"/>
        <w:rPr>
          <w:lang w:val="de-DE"/>
        </w:rPr>
      </w:pPr>
      <w:r w:rsidRPr="00110DF4">
        <w:lastRenderedPageBreak/>
        <w:fldChar w:fldCharType="begin" w:fldLock="1"/>
      </w:r>
      <w:r w:rsidRPr="00110DF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rPr>
        <w:t>(FitzGerald et al., 2013)</w:t>
      </w:r>
      <w:r w:rsidRPr="00110DF4">
        <w:fldChar w:fldCharType="end"/>
      </w:r>
      <w:r w:rsidRPr="00110DF4">
        <w:t xml:space="preserve">: </w:t>
      </w:r>
      <w:proofErr w:type="spellStart"/>
      <w:r w:rsidRPr="00110DF4">
        <w:t>Einschränkungen</w:t>
      </w:r>
      <w:proofErr w:type="spellEnd"/>
      <w:r w:rsidRPr="00110DF4">
        <w:t xml:space="preserve"> von GPS: “GPS requires line of sight for satellite communication and so cannot be used indoors with any great accuracy (…).“</w:t>
      </w:r>
      <w:r w:rsidR="006B257B">
        <w:t xml:space="preserve">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FC0E0E">
        <w:rPr>
          <w:lang w:val="de-DE"/>
        </w:rPr>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FC0E0E">
        <w:rPr>
          <w:noProof/>
          <w:lang w:val="de-DE"/>
        </w:rPr>
        <w:t>(Ternier, De Vries, et al., 2012)</w:t>
      </w:r>
      <w:r w:rsidR="006B257B">
        <w:fldChar w:fldCharType="end"/>
      </w:r>
      <w:r w:rsidR="006B257B" w:rsidRPr="00FC0E0E">
        <w:rPr>
          <w:lang w:val="de-DE"/>
        </w:rPr>
        <w:t xml:space="preserve"> </w:t>
      </w:r>
      <w:r w:rsidRPr="00FC0E0E">
        <w:rPr>
          <w:lang w:val="de-DE"/>
        </w:rPr>
        <w:t>ähnlich (Auch draußen durch Infrastruktur beschränkt) in Florenz.</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EE2082" w:rsidRPr="00EE2082" w:rsidRDefault="00EE2082" w:rsidP="00EE2082">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Pr="00EE2082">
        <w:t xml:space="preserve">: “Among the most critical issues in the design of immersive virtual environments are those that deal with the problem of technologically induced </w:t>
      </w:r>
      <w:proofErr w:type="spellStart"/>
      <w:r w:rsidRPr="00EE2082">
        <w:t>intersensory</w:t>
      </w:r>
      <w:proofErr w:type="spellEnd"/>
      <w:r w:rsidRPr="00EE2082">
        <w:t xml:space="preserve"> conflict and one of the results, sensorimotor adaptation.”</w:t>
      </w:r>
    </w:p>
    <w:p w:rsidR="00EE2082" w:rsidRPr="00EE2082" w:rsidRDefault="00EE2082" w:rsidP="00EE2082">
      <w:pPr>
        <w:pStyle w:val="StandardErstzeileneinzug"/>
      </w:pPr>
      <w:r w:rsidRPr="00EE2082">
        <w:t xml:space="preserve">Ibid: “Engineering design restrictions in this generation of video see-through HMDs require displacing human vision. The cameras that record the physical world and the video displays that present the physical world to the viewer cannot occupy the same position in space.” -&gt; </w:t>
      </w:r>
      <w:proofErr w:type="spellStart"/>
      <w:r w:rsidRPr="00EE2082">
        <w:t>Erwähnt</w:t>
      </w:r>
      <w:proofErr w:type="spellEnd"/>
      <w:r w:rsidRPr="00EE2082">
        <w:t xml:space="preserve"> </w:t>
      </w:r>
      <w:proofErr w:type="spellStart"/>
      <w:r w:rsidRPr="00EE2082">
        <w:t>besonders</w:t>
      </w:r>
      <w:proofErr w:type="spellEnd"/>
      <w:r w:rsidRPr="00EE2082">
        <w:t xml:space="preserve"> medical </w:t>
      </w:r>
      <w:proofErr w:type="spellStart"/>
      <w:proofErr w:type="gramStart"/>
      <w:r w:rsidRPr="00EE2082">
        <w:t>als</w:t>
      </w:r>
      <w:proofErr w:type="spellEnd"/>
      <w:proofErr w:type="gramEnd"/>
      <w:r w:rsidRPr="00EE2082">
        <w:t xml:space="preserve"> Feld, das </w:t>
      </w:r>
      <w:proofErr w:type="spellStart"/>
      <w:r w:rsidRPr="00EE2082">
        <w:t>dadurch</w:t>
      </w:r>
      <w:proofErr w:type="spellEnd"/>
      <w:r w:rsidRPr="00EE2082">
        <w:t xml:space="preserve"> </w:t>
      </w:r>
      <w:proofErr w:type="spellStart"/>
      <w:r w:rsidRPr="00EE2082">
        <w:t>Nachteile</w:t>
      </w:r>
      <w:proofErr w:type="spellEnd"/>
      <w:r w:rsidRPr="00EE2082">
        <w:t xml:space="preserve"> </w:t>
      </w:r>
      <w:proofErr w:type="spellStart"/>
      <w:r w:rsidRPr="00EE2082">
        <w:t>hätte</w:t>
      </w:r>
      <w:proofErr w:type="spellEnd"/>
    </w:p>
    <w:p w:rsidR="00EE2082" w:rsidRPr="00EE2082" w:rsidRDefault="00EE2082" w:rsidP="00EE2082">
      <w:pPr>
        <w:pStyle w:val="StandardErstzeileneinzug"/>
      </w:pPr>
      <w:r w:rsidRPr="00EE2082">
        <w:t>Ibid: “Performance on a manual task requiring hand-eye coordination took 43% longer with the see-through HMD. (…</w:t>
      </w:r>
      <w:proofErr w:type="gramStart"/>
      <w:r w:rsidRPr="00EE2082">
        <w:t>)“</w:t>
      </w:r>
      <w:proofErr w:type="gramEnd"/>
      <w:r w:rsidRPr="00EE2082">
        <w:t>[T]he negative aftereffect was measurable for at least thirty minutes after using the see-through HMD.”</w:t>
      </w:r>
    </w:p>
    <w:p w:rsidR="00EE2082" w:rsidRPr="00EE2082" w:rsidRDefault="00EE2082" w:rsidP="00EE2082">
      <w:pPr>
        <w:pStyle w:val="StandardErstzeileneinzug"/>
      </w:pPr>
      <w:r w:rsidRPr="00EE2082">
        <w:t xml:space="preserve">Ibid: ABER: “Subjects began to adapt almost immediately upon putting on the HMD (...) </w:t>
      </w:r>
      <w:proofErr w:type="gramStart"/>
      <w:r w:rsidRPr="00EE2082">
        <w:t>The</w:t>
      </w:r>
      <w:proofErr w:type="gramEnd"/>
      <w:r w:rsidRPr="00EE2082">
        <w:t xml:space="preserve"> amount of error dropped further (by approximately 33%) as subjects further adapted to the sensory rearrangement while performing a task that required quick and precise hand motion.”</w:t>
      </w:r>
    </w:p>
    <w:p w:rsidR="00EE2082" w:rsidRDefault="00EE2082" w:rsidP="00EE2082">
      <w:pPr>
        <w:pStyle w:val="StandardErstzeileneinzug"/>
      </w:pPr>
      <w:r w:rsidRPr="00EE2082">
        <w:t>Ibid: UND: “Although the control HMD matched the weight, center of mass, field of view and discomfort of the see-through HMD, it failed to control for the poorer resolution of the latter unit.”</w:t>
      </w:r>
    </w:p>
    <w:p w:rsidR="00675843" w:rsidRDefault="00675843" w:rsidP="00675843">
      <w:pPr>
        <w:pStyle w:val="StandardErstzeileneinzug"/>
      </w:pP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rsidRPr="00675843">
        <w:t>: This technology is also related to one of the most researched areas in AR, the registration problem (</w:t>
      </w:r>
      <w:proofErr w:type="spellStart"/>
      <w:r w:rsidRPr="00675843">
        <w:t>Bimber</w:t>
      </w:r>
      <w:proofErr w:type="spellEnd"/>
      <w:r w:rsidRPr="00675843">
        <w:t xml:space="preserve"> &amp; </w:t>
      </w:r>
      <w:proofErr w:type="spellStart"/>
      <w:r w:rsidRPr="00675843">
        <w:t>Raskar</w:t>
      </w:r>
      <w:proofErr w:type="spellEnd"/>
      <w:r w:rsidRPr="00675843">
        <w:t>, 2005), which is the challenge of linking the real-world per</w:t>
      </w:r>
      <w:r w:rsidRPr="00513909">
        <w:t>ception of a mobile AR user and the presentation of the augmentation layer. Thus, the registration problem is closely linked to what we refer to as synchronization.”</w:t>
      </w:r>
    </w:p>
    <w:p w:rsidR="00675843" w:rsidRDefault="00675843" w:rsidP="00675843">
      <w:pPr>
        <w:pStyle w:val="StandardErstzeileneinzug"/>
      </w:pPr>
      <w:r w:rsidRPr="00675843">
        <w:t xml:space="preserve">Registration problem </w:t>
      </w:r>
      <w:proofErr w:type="spellStart"/>
      <w:r w:rsidRPr="00675843">
        <w:t>auch</w:t>
      </w:r>
      <w:proofErr w:type="spellEnd"/>
      <w:r w:rsidRPr="00675843">
        <w:t xml:space="preserve"> von </w:t>
      </w:r>
      <w:r>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675843">
        <w:rPr>
          <w:noProof/>
        </w:rPr>
        <w:t>(Azuma, 1997)</w:t>
      </w:r>
      <w:r>
        <w:rPr>
          <w:lang w:val="de-DE"/>
        </w:rPr>
        <w:fldChar w:fldCharType="end"/>
      </w:r>
      <w:r w:rsidRPr="00675843">
        <w:t xml:space="preserve"> </w:t>
      </w:r>
      <w:proofErr w:type="spellStart"/>
      <w:r w:rsidRPr="00675843">
        <w:t>erwähnt</w:t>
      </w:r>
      <w:proofErr w:type="spellEnd"/>
      <w:r w:rsidRPr="00675843">
        <w:t>: „The objects in the real and virtual worlds must be properly aligned with resp</w:t>
      </w:r>
      <w:r>
        <w:t>ect to each other, or the illu</w:t>
      </w:r>
      <w:r w:rsidRPr="00675843">
        <w:t>sion that the two worlds coexist will be compromised. More seriously, many a</w:t>
      </w:r>
      <w:r>
        <w:t>pplications demand accurate reg</w:t>
      </w:r>
      <w:r w:rsidRPr="00675843">
        <w:t xml:space="preserve">istration. </w:t>
      </w:r>
      <w:r>
        <w:t>(…)</w:t>
      </w:r>
      <w:r w:rsidRPr="00675843">
        <w:t xml:space="preserve"> Without accurate registration, augmented reality will not be accepted in many applications.</w:t>
      </w:r>
      <w:r>
        <w:t>”</w:t>
      </w:r>
    </w:p>
    <w:p w:rsidR="00D07A2F" w:rsidRDefault="00D07A2F" w:rsidP="00675843">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 "properties" : { "noteIndex" : 0 }, "schema" : "https://github.com/citation-style-language/schema/raw/master/csl-citation.json" }</w:instrText>
      </w:r>
      <w:r>
        <w:fldChar w:fldCharType="separate"/>
      </w:r>
      <w:r w:rsidRPr="00D07A2F">
        <w:rPr>
          <w:noProof/>
        </w:rPr>
        <w:t>(Papagiannakis et al., 2008)</w:t>
      </w:r>
      <w:r>
        <w:fldChar w:fldCharType="end"/>
      </w:r>
      <w:r>
        <w:t xml:space="preserve">: List of challenges includes: </w:t>
      </w:r>
    </w:p>
    <w:p w:rsidR="00D07A2F" w:rsidRDefault="00D07A2F" w:rsidP="00D07A2F">
      <w:pPr>
        <w:pStyle w:val="StandardErstzeileneinzug"/>
        <w:numPr>
          <w:ilvl w:val="0"/>
          <w:numId w:val="2"/>
        </w:numPr>
      </w:pPr>
      <w:r>
        <w:t>Limited computational resources</w:t>
      </w:r>
    </w:p>
    <w:p w:rsidR="00D07A2F" w:rsidRDefault="00D07A2F" w:rsidP="00D07A2F">
      <w:pPr>
        <w:pStyle w:val="StandardErstzeileneinzug"/>
        <w:numPr>
          <w:ilvl w:val="0"/>
          <w:numId w:val="2"/>
        </w:numPr>
      </w:pPr>
      <w:r>
        <w:t>Size, weight</w:t>
      </w:r>
    </w:p>
    <w:p w:rsidR="00D07A2F" w:rsidRDefault="00D07A2F" w:rsidP="00D07A2F">
      <w:pPr>
        <w:pStyle w:val="StandardErstzeileneinzug"/>
        <w:numPr>
          <w:ilvl w:val="0"/>
          <w:numId w:val="2"/>
        </w:numPr>
      </w:pPr>
      <w:r>
        <w:t>Battery life</w:t>
      </w:r>
    </w:p>
    <w:p w:rsidR="00D07A2F" w:rsidRDefault="00D07A2F" w:rsidP="00D07A2F">
      <w:pPr>
        <w:pStyle w:val="StandardErstzeileneinzug"/>
        <w:numPr>
          <w:ilvl w:val="0"/>
          <w:numId w:val="2"/>
        </w:numPr>
      </w:pPr>
      <w:r>
        <w:t>Ruggedness</w:t>
      </w:r>
    </w:p>
    <w:p w:rsidR="00D07A2F" w:rsidRDefault="00D07A2F" w:rsidP="00D07A2F">
      <w:pPr>
        <w:pStyle w:val="StandardErstzeileneinzug"/>
        <w:numPr>
          <w:ilvl w:val="0"/>
          <w:numId w:val="2"/>
        </w:numPr>
      </w:pPr>
      <w:r>
        <w:lastRenderedPageBreak/>
        <w:t>Tracking and Registration</w:t>
      </w:r>
    </w:p>
    <w:p w:rsidR="00D07A2F" w:rsidRPr="006B257B" w:rsidRDefault="00D07A2F" w:rsidP="00D07A2F">
      <w:pPr>
        <w:pStyle w:val="StandardErstzeileneinzug"/>
        <w:numPr>
          <w:ilvl w:val="0"/>
          <w:numId w:val="2"/>
        </w:numPr>
      </w:pPr>
      <w:r>
        <w:t>3D graphics and real-time performance</w:t>
      </w:r>
    </w:p>
    <w:p w:rsidR="00046233" w:rsidRDefault="00150551" w:rsidP="00150551">
      <w:pPr>
        <w:pStyle w:val="StandardErstzeileneinzug"/>
        <w:tabs>
          <w:tab w:val="left" w:pos="5640"/>
        </w:tabs>
        <w:rPr>
          <w:lang w:val="de-DE"/>
        </w:rPr>
      </w:pPr>
      <w:r w:rsidRPr="00150551">
        <w:rPr>
          <w:b/>
          <w:bCs/>
          <w:lang w:val="de-DE"/>
        </w:rPr>
        <w:t>UI</w:t>
      </w:r>
      <w:r w:rsidRPr="00150551">
        <w:rPr>
          <w:bCs/>
          <w:lang w:val="de-DE"/>
        </w:rPr>
        <w:t xml:space="preserve">: </w:t>
      </w:r>
      <w:r>
        <w:rPr>
          <w:lang w:val="es-ES_tradnl"/>
        </w:rPr>
        <w:fldChar w:fldCharType="begin" w:fldLock="1"/>
      </w:r>
      <w:r w:rsidRPr="00150551">
        <w:rPr>
          <w:lang w:val="de-DE"/>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50551">
        <w:rPr>
          <w:noProof/>
          <w:lang w:val="de-DE"/>
        </w:rPr>
        <w:t>(Furmanski et al., 2002)</w:t>
      </w:r>
      <w:r>
        <w:rPr>
          <w:lang w:val="es-ES_tradnl"/>
        </w:rPr>
        <w:fldChar w:fldCharType="end"/>
      </w:r>
      <w:r>
        <w:rPr>
          <w:lang w:val="de-DE"/>
        </w:rPr>
        <w:t>(Interfaces überdenken)</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Pr="000B5FF7">
        <w:t xml:space="preserve">: “One of the most frequently reported AR design challenges is preventing student cognitive </w:t>
      </w:r>
      <w:r>
        <w:t xml:space="preserve">overload during the </w:t>
      </w:r>
      <w:r w:rsidRPr="00150551">
        <w:t xml:space="preserve">experience (Dunleavy et al., 2009; </w:t>
      </w:r>
      <w:proofErr w:type="spellStart"/>
      <w:r w:rsidRPr="00150551">
        <w:t>Klopfer</w:t>
      </w:r>
      <w:proofErr w:type="spellEnd"/>
      <w:r w:rsidRPr="00150551">
        <w:t xml:space="preserve"> and Squire, 2008; Perry, </w:t>
      </w:r>
      <w:proofErr w:type="spellStart"/>
      <w:r w:rsidRPr="00150551">
        <w:t>Klopfer</w:t>
      </w:r>
      <w:proofErr w:type="spellEnd"/>
      <w:r w:rsidRPr="00150551">
        <w:t xml:space="preserve">, Norton, </w:t>
      </w:r>
      <w:proofErr w:type="spellStart"/>
      <w:r w:rsidRPr="00150551">
        <w:t>Sutch</w:t>
      </w:r>
      <w:proofErr w:type="spellEnd"/>
      <w:r w:rsidRPr="00150551">
        <w:t>, Sanford, &amp; Facer, 2008).</w:t>
      </w:r>
      <w:r>
        <w:t>”</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50551">
        <w:rPr>
          <w:noProof/>
        </w:rPr>
        <w:t>(Dunleavy, 2014)</w:t>
      </w:r>
      <w:r>
        <w:fldChar w:fldCharType="end"/>
      </w:r>
      <w:r>
        <w:t xml:space="preserve">: </w:t>
      </w:r>
      <w:r w:rsidRPr="00150551">
        <w:t>“The mobile device as a lens rather than a screen is a critical design metaphor as several studies have documented that students have the tendency to become fixated on the mobile device rather than observing the environment (Dunleavy et al., 2009, Dunleavy &amp; Simmons, 2011; Perry et al., 2008; Squire, 2010). While location-based and vision-based AR can provide powerful and compelling experiences, it is critical that designers do not create experiences where the technology becomes a barrier to the environment. Rather the technology needs to drive the students deeper into the authentic observation and interaction with the environment and with each other if AR is to grow beyond a novelty technology.”</w:t>
      </w:r>
    </w:p>
    <w:p w:rsidR="00110DF4" w:rsidRPr="00150551" w:rsidRDefault="00110DF4" w:rsidP="00110DF4">
      <w:pPr>
        <w:pStyle w:val="StandardErstzeileneinzug"/>
      </w:pPr>
      <w:r w:rsidRPr="00150551">
        <w:fldChar w:fldCharType="begin" w:fldLock="1"/>
      </w:r>
      <w:r w:rsidRPr="00150551">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50551">
        <w:fldChar w:fldCharType="separate"/>
      </w:r>
      <w:r w:rsidRPr="00150551">
        <w:rPr>
          <w:noProof/>
        </w:rPr>
        <w:t>(Dunleavy et al., 2009)</w:t>
      </w:r>
      <w:r w:rsidRPr="00150551">
        <w:fldChar w:fldCharType="end"/>
      </w:r>
      <w:r w:rsidRPr="00150551">
        <w:t>: “As students navigated through the game space, they were frequently observed ignoring the physical space around them to focus exclusively on the data being presented via the handheld. The research team recorded multiple examples of students being so engaged in the game environment that they lost track of their real environment. Beyond the obvious safety concerns related to students ignoring their environment while walking in an urban setting, this engrossment could actually be counterproductive if the AR simulation is designed to incorporate the physical space into the learning experience.</w:t>
      </w:r>
    </w:p>
    <w:p w:rsidR="00110DF4" w:rsidRDefault="00110DF4" w:rsidP="00110DF4">
      <w:pPr>
        <w:pStyle w:val="StandardErstzeileneinzug"/>
        <w:tabs>
          <w:tab w:val="left" w:pos="5640"/>
        </w:tabs>
      </w:pPr>
      <w:r>
        <w:fldChar w:fldCharType="begin" w:fldLock="1"/>
      </w:r>
      <w:r w:rsidR="006B257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w:t>
      </w:r>
      <w:proofErr w:type="spellStart"/>
      <w:r w:rsidRPr="00150551">
        <w:t>Locatory</w:t>
      </w:r>
      <w:proofErr w:type="spellEnd"/>
      <w:r w:rsidRPr="00150551">
        <w:t xml:space="preserve"> absorbed all of the attention of the users, which might lead to dangerous situations. Although the game was played with adult users, while playing the game, observers had to point out the dangers of cars entering and leaving the parking lot. We found that the way users perceived the game environment relates to tunnel vision.</w:t>
      </w:r>
      <w:r>
        <w:t>”</w:t>
      </w:r>
    </w:p>
    <w:p w:rsidR="006B257B" w:rsidRPr="00AD5217" w:rsidRDefault="006B257B" w:rsidP="006B257B">
      <w:pPr>
        <w:pStyle w:val="StandardErstzeileneinzug"/>
      </w:pPr>
      <w:r>
        <w:fldChar w:fldCharType="begin" w:fldLock="1"/>
      </w:r>
      <w:r>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t xml:space="preserve">: </w:t>
      </w:r>
      <w:r w:rsidRPr="005A598C">
        <w:t>“If a graphics-based AR system is to be effective, care must be taken to ensure that its display is not cluttered with too much information.”</w:t>
      </w:r>
      <w:r>
        <w:t xml:space="preserve"> -&gt; </w:t>
      </w:r>
      <w:proofErr w:type="spellStart"/>
      <w:r>
        <w:t>Lösungsansatz</w:t>
      </w:r>
      <w:proofErr w:type="spellEnd"/>
      <w:r>
        <w:t xml:space="preserve">: </w:t>
      </w:r>
      <w:proofErr w:type="spellStart"/>
      <w:r>
        <w:t>Filtertechnik</w:t>
      </w:r>
      <w:proofErr w:type="spellEnd"/>
      <w:proofErr w:type="gramStart"/>
      <w:r>
        <w:t>.</w:t>
      </w:r>
      <w:proofErr w:type="gramEnd"/>
      <w:r>
        <w:br/>
      </w:r>
      <w:r w:rsidRPr="00AD5217">
        <w:t>“An informal domain analysis of our application scenario suggested to us that the filtering mechanism should take into account the following properties:</w:t>
      </w:r>
    </w:p>
    <w:p w:rsidR="006B257B" w:rsidRPr="00AD5217" w:rsidRDefault="006B257B" w:rsidP="006B257B">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6B257B" w:rsidRPr="00AD5217" w:rsidRDefault="006B257B" w:rsidP="006B257B">
      <w:pPr>
        <w:pStyle w:val="StandardErstzeileneinzug"/>
        <w:numPr>
          <w:ilvl w:val="0"/>
          <w:numId w:val="2"/>
        </w:numPr>
      </w:pPr>
      <w:r w:rsidRPr="00AD5217">
        <w:t>Any object, of any type, at any point in time, can become sufficiently important that it must be able to pass the filtering criteria.</w:t>
      </w:r>
    </w:p>
    <w:p w:rsidR="006B257B" w:rsidRPr="00AD5217" w:rsidRDefault="006B257B" w:rsidP="006B257B">
      <w:pPr>
        <w:pStyle w:val="StandardErstzeileneinzug"/>
        <w:numPr>
          <w:ilvl w:val="0"/>
          <w:numId w:val="2"/>
        </w:numPr>
      </w:pPr>
      <w:r w:rsidRPr="00AD5217">
        <w:t>Certain objects are important to all users at all times.</w:t>
      </w:r>
    </w:p>
    <w:p w:rsidR="006B257B" w:rsidRPr="00AD5217" w:rsidRDefault="006B257B" w:rsidP="006B257B">
      <w:pPr>
        <w:pStyle w:val="StandardErstzeileneinzug"/>
        <w:numPr>
          <w:ilvl w:val="0"/>
          <w:numId w:val="2"/>
        </w:numPr>
      </w:pPr>
      <w:r w:rsidRPr="00AD5217">
        <w:lastRenderedPageBreak/>
        <w:t>Certain objects are important to all users whenever they are performing a particular task.</w:t>
      </w:r>
    </w:p>
    <w:p w:rsidR="006B257B" w:rsidRPr="00AD5217" w:rsidRDefault="006B257B" w:rsidP="006B257B">
      <w:pPr>
        <w:pStyle w:val="StandardErstzeileneinzug"/>
        <w:numPr>
          <w:ilvl w:val="0"/>
          <w:numId w:val="2"/>
        </w:numPr>
      </w:pPr>
      <w:r w:rsidRPr="00AD5217">
        <w:t>Some objects (such as the way points that define a route) are only important to the activities of a particular user.</w:t>
      </w:r>
    </w:p>
    <w:p w:rsidR="006B257B" w:rsidRDefault="006B257B" w:rsidP="006B257B">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A70BA9" w:rsidRPr="00A848B8" w:rsidRDefault="00A70BA9" w:rsidP="00A70BA9">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70BA9" w:rsidRPr="00A848B8" w:rsidRDefault="00A70BA9" w:rsidP="00A70BA9">
      <w:pPr>
        <w:pStyle w:val="StandardErstzeileneinzug"/>
        <w:numPr>
          <w:ilvl w:val="1"/>
          <w:numId w:val="18"/>
        </w:numPr>
      </w:pPr>
      <w:r w:rsidRPr="00A848B8">
        <w:rPr>
          <w:b/>
          <w:bCs/>
          <w:i/>
          <w:iCs/>
        </w:rPr>
        <w:t>Loner</w:t>
      </w:r>
      <w:r w:rsidRPr="00A848B8">
        <w:t xml:space="preserve"> (“reliance on single-person, socially disconnected user experiences.”)</w:t>
      </w:r>
    </w:p>
    <w:p w:rsidR="00A70BA9" w:rsidRPr="00A848B8" w:rsidRDefault="00A70BA9" w:rsidP="00A70BA9">
      <w:pPr>
        <w:pStyle w:val="StandardErstzeileneinzug"/>
        <w:numPr>
          <w:ilvl w:val="1"/>
          <w:numId w:val="18"/>
        </w:numPr>
      </w:pPr>
      <w:r w:rsidRPr="00A848B8">
        <w:rPr>
          <w:b/>
          <w:bCs/>
          <w:i/>
          <w:iCs/>
        </w:rPr>
        <w:t>Secondhand Smoke</w:t>
      </w:r>
      <w:r w:rsidRPr="00A848B8">
        <w:t xml:space="preserve"> (“indirect experience of augmented reality”)</w:t>
      </w:r>
    </w:p>
    <w:p w:rsidR="00A70BA9" w:rsidRPr="00A848B8" w:rsidRDefault="00A70BA9" w:rsidP="00A70BA9">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70BA9" w:rsidRPr="00A848B8" w:rsidRDefault="00A70BA9" w:rsidP="00A70BA9">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70BA9" w:rsidRDefault="00A70BA9" w:rsidP="00A70BA9">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70BA9" w:rsidRDefault="00A70BA9" w:rsidP="00A70BA9">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D07A2F" w:rsidRPr="00D07A2F" w:rsidRDefault="00D07A2F" w:rsidP="00D07A2F">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(Learning detriment): </w:t>
      </w:r>
      <w:r w:rsidRPr="00DF73B2">
        <w:t>“In several studies, users rate AR systems as more difficult to use than the physical or desktop-based alternatives.”</w:t>
      </w:r>
    </w:p>
    <w:p w:rsidR="00110DF4" w:rsidRDefault="00110DF4" w:rsidP="006B257B">
      <w:pPr>
        <w:pStyle w:val="StandardErstzeileneinzug"/>
        <w:tabs>
          <w:tab w:val="left" w:pos="5640"/>
        </w:tabs>
      </w:pPr>
      <w:r w:rsidRPr="00110DF4">
        <w:rPr>
          <w:b/>
        </w:rPr>
        <w:t>Social acceptance</w:t>
      </w:r>
      <w:r>
        <w:t>:</w:t>
      </w:r>
      <w:r w:rsidR="006B257B">
        <w:t xml:space="preserve"> </w:t>
      </w:r>
      <w:r w:rsidR="006B257B">
        <w:fldChar w:fldCharType="begin" w:fldLock="1"/>
      </w:r>
      <w:r w:rsidR="006B257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B257B">
        <w:fldChar w:fldCharType="separate"/>
      </w:r>
      <w:r w:rsidR="006B257B" w:rsidRPr="00FF21AA">
        <w:rPr>
          <w:noProof/>
        </w:rPr>
        <w:t>(FitzGerald et al., 2013)</w:t>
      </w:r>
      <w:r w:rsidR="006B257B">
        <w:fldChar w:fldCharType="end"/>
      </w:r>
      <w:r w:rsidR="006B257B">
        <w:t xml:space="preserve">: </w:t>
      </w:r>
      <w:r w:rsidR="006B257B" w:rsidRPr="00F57265">
        <w:t xml:space="preserve">“One of the most sensitive issues relates to </w:t>
      </w:r>
      <w:r w:rsidR="006B257B" w:rsidRPr="00F57265">
        <w:rPr>
          <w:b/>
          <w:bCs/>
        </w:rPr>
        <w:t>knowledge of a user’s location</w:t>
      </w:r>
      <w:r w:rsidR="006B257B" w:rsidRPr="00F57265">
        <w:t xml:space="preserve">. This is a basic requirement of </w:t>
      </w:r>
      <w:proofErr w:type="spellStart"/>
      <w:r w:rsidR="006B257B" w:rsidRPr="00F57265">
        <w:t>geolocated</w:t>
      </w:r>
      <w:proofErr w:type="spellEnd"/>
      <w:r w:rsidR="006B257B" w:rsidRPr="00F57265">
        <w:t xml:space="preserve"> AR, but may be off-putting for users who are not aware exactly what data is being collected or who are wary of being tracked or targeted by companies which provide </w:t>
      </w:r>
      <w:proofErr w:type="spellStart"/>
      <w:r w:rsidR="006B257B" w:rsidRPr="00F57265">
        <w:rPr>
          <w:b/>
          <w:bCs/>
        </w:rPr>
        <w:t>personalised</w:t>
      </w:r>
      <w:proofErr w:type="spellEnd"/>
      <w:r w:rsidR="006B257B" w:rsidRPr="00F57265">
        <w:rPr>
          <w:b/>
          <w:bCs/>
        </w:rPr>
        <w:t xml:space="preserve"> marketing</w:t>
      </w:r>
      <w:r w:rsidR="006B257B">
        <w:t xml:space="preserve"> (Hamilton, 2012).”</w:t>
      </w:r>
    </w:p>
    <w:p w:rsidR="00110DF4" w:rsidRDefault="00110DF4" w:rsidP="006B257B">
      <w:pPr>
        <w:pStyle w:val="StandardErstzeileneinzug"/>
      </w:pPr>
      <w:r w:rsidRPr="00110DF4">
        <w:rPr>
          <w:b/>
        </w:rPr>
        <w:t>Other</w:t>
      </w:r>
      <w:r>
        <w:t>:</w:t>
      </w:r>
      <w:r w:rsidR="006B257B">
        <w:t xml:space="preserve"> </w:t>
      </w:r>
      <w:r w:rsidR="006B257B" w:rsidRPr="00110DF4">
        <w:fldChar w:fldCharType="begin" w:fldLock="1"/>
      </w:r>
      <w:r w:rsidR="006B257B"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6B257B" w:rsidRPr="00110DF4">
        <w:fldChar w:fldCharType="separate"/>
      </w:r>
      <w:r w:rsidR="006B257B" w:rsidRPr="00110DF4">
        <w:rPr>
          <w:noProof/>
        </w:rPr>
        <w:t>(Dunleavy et al., 2009)</w:t>
      </w:r>
      <w:r w:rsidR="006B257B" w:rsidRPr="00110DF4">
        <w:fldChar w:fldCharType="end"/>
      </w:r>
      <w:r w:rsidR="006B257B" w:rsidRPr="00110DF4">
        <w:t>: “The findings from this study emphasize how engaged students become simply by using similar tools to learn. While this use will continue to be a motivating factor regardless of content due to the inherent novelty effect, we can safely predict that this novelty engagement will fade as the students become accustomed to this method of learning.”</w:t>
      </w:r>
    </w:p>
    <w:p w:rsidR="006B257B" w:rsidRDefault="006B257B" w:rsidP="00A70BA9">
      <w:pPr>
        <w:pStyle w:val="StandardErstzeileneinzug"/>
      </w:pPr>
      <w:r w:rsidRPr="006B257B">
        <w:lastRenderedPageBreak/>
        <w:fldChar w:fldCharType="begin" w:fldLock="1"/>
      </w:r>
      <w:r w:rsidRPr="006B257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6B257B">
        <w:fldChar w:fldCharType="separate"/>
      </w:r>
      <w:r w:rsidRPr="006B257B">
        <w:rPr>
          <w:noProof/>
        </w:rPr>
        <w:t>(Wetzel et al., 2008)</w:t>
      </w:r>
      <w:r w:rsidRPr="006B257B">
        <w:fldChar w:fldCharType="end"/>
      </w:r>
      <w:r w:rsidRPr="006B257B">
        <w:t xml:space="preserve"> </w:t>
      </w:r>
      <w:proofErr w:type="spellStart"/>
      <w:r w:rsidRPr="006B257B">
        <w:t>ähnlich</w:t>
      </w:r>
      <w:proofErr w:type="spellEnd"/>
      <w:r w:rsidRPr="006B257B">
        <w:t>: “When players encounter AR games for the first time they are typically impressed, enjoy playing them and have ideas for other AR games. However, this observation does not mean that all AR games are “good”, rather it is often related to the experience of the new and novel technologies.”</w:t>
      </w:r>
    </w:p>
    <w:p w:rsidR="00CA0EB4" w:rsidRPr="009329A7" w:rsidRDefault="00CA0EB4" w:rsidP="00CA0EB4">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CA0EB4" w:rsidRPr="00506D33" w:rsidRDefault="00CA0EB4" w:rsidP="00CA0EB4">
      <w:pPr>
        <w:pStyle w:val="StandardErstzeileneinzug"/>
        <w:numPr>
          <w:ilvl w:val="1"/>
          <w:numId w:val="20"/>
        </w:numPr>
        <w:rPr>
          <w:lang w:val="de-DE"/>
        </w:rPr>
      </w:pPr>
      <w:r>
        <w:t>The third party doctrine</w:t>
      </w:r>
    </w:p>
    <w:p w:rsidR="00CA0EB4" w:rsidRPr="00506D33" w:rsidRDefault="00CA0EB4" w:rsidP="00CA0EB4">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CA0EB4" w:rsidRPr="00506D33" w:rsidRDefault="00CA0EB4" w:rsidP="00CA0EB4">
      <w:pPr>
        <w:pStyle w:val="StandardErstzeileneinzug"/>
        <w:ind w:left="720" w:firstLine="0"/>
      </w:pPr>
      <w:r w:rsidRPr="00506D33">
        <w:t>“Issues related to display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Negligence</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CA0EB4" w:rsidRPr="009329A7" w:rsidRDefault="00CA0EB4" w:rsidP="00CA0EB4">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CA0EB4" w:rsidRPr="00CA0EB4" w:rsidRDefault="00CA0EB4" w:rsidP="00CA0EB4">
      <w:pPr>
        <w:pStyle w:val="StandardErstzeileneinzug"/>
        <w:numPr>
          <w:ilvl w:val="1"/>
          <w:numId w:val="20"/>
        </w:numPr>
        <w:rPr>
          <w:lang w:val="de-DE"/>
        </w:rPr>
      </w:pPr>
      <w:proofErr w:type="spellStart"/>
      <w:r w:rsidRPr="009329A7">
        <w:rPr>
          <w:lang w:val="de-DE"/>
        </w:rPr>
        <w:t>Discrimination</w:t>
      </w:r>
      <w:proofErr w:type="spellEnd"/>
    </w:p>
    <w:p w:rsidR="00CA0EB4" w:rsidRDefault="00CA0EB4"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 xml:space="preserve">“There are also several topics that need to be addressed in order to ease the adoption of this technology into school classrooms. </w:t>
      </w:r>
      <w:r w:rsidR="0098050A">
        <w:t xml:space="preserve">(…) </w:t>
      </w:r>
      <w:r w:rsidRPr="00B417C8">
        <w:t>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w:t>
      </w:r>
      <w:r>
        <w:t>pace than computer experiences.”</w:t>
      </w:r>
    </w:p>
    <w:p w:rsidR="00D07A2F" w:rsidRPr="00150551" w:rsidRDefault="00D07A2F"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w:t>
      </w:r>
      <w:r w:rsidRPr="009717E4">
        <w:t>“Some studies reported that for some students, AR may not be an effective teaching strategy. (...) Potentially, the AR-based educational content was too limited in scope and did not contain novel information for the high-achieving students.”</w:t>
      </w:r>
    </w:p>
    <w:p w:rsidR="00046233" w:rsidRDefault="00110DF4" w:rsidP="00110DF4">
      <w:pPr>
        <w:pStyle w:val="StandardErstzeileneinzug"/>
        <w:tabs>
          <w:tab w:val="left" w:pos="5640"/>
        </w:tabs>
      </w:pPr>
      <w:proofErr w:type="spellStart"/>
      <w:r w:rsidRPr="00110DF4">
        <w:rPr>
          <w:b/>
        </w:rPr>
        <w:t>Verschieben</w:t>
      </w:r>
      <w:proofErr w:type="spellEnd"/>
      <w:r w:rsidR="006B257B">
        <w:rPr>
          <w:b/>
        </w:rPr>
        <w:t xml:space="preserve"> </w:t>
      </w:r>
      <w:proofErr w:type="spellStart"/>
      <w:r w:rsidR="006B257B">
        <w:rPr>
          <w:b/>
        </w:rPr>
        <w:t>oder</w:t>
      </w:r>
      <w:proofErr w:type="spellEnd"/>
      <w:r w:rsidR="006B257B">
        <w:rPr>
          <w:b/>
        </w:rPr>
        <w:t xml:space="preserve"> </w:t>
      </w:r>
      <w:proofErr w:type="spellStart"/>
      <w:r w:rsidR="006B257B">
        <w:rPr>
          <w:b/>
        </w:rPr>
        <w:t>raus</w:t>
      </w:r>
      <w:proofErr w:type="spellEnd"/>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t xml:space="preserve">: </w:t>
      </w:r>
      <w:r w:rsidRPr="00B24973">
        <w:t>“However, while the AR simulation provided potentially transformative added value, it simultaneously presented unique technological, managerial, and cognitive challenges to teaching and learning.”</w:t>
      </w:r>
    </w:p>
    <w:p w:rsidR="006B257B" w:rsidRDefault="006B257B" w:rsidP="006B257B">
      <w:pPr>
        <w:pStyle w:val="StandardErstzeileneinzug"/>
      </w:pPr>
      <w:r>
        <w:fldChar w:fldCharType="begin" w:fldLock="1"/>
      </w:r>
      <w: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C4539F" w:rsidRPr="000F6C54" w:rsidRDefault="00C4539F" w:rsidP="00C4539F">
      <w:pPr>
        <w:pStyle w:val="berschrift2"/>
        <w:rPr>
          <w:lang w:val="en-US"/>
        </w:rPr>
      </w:pPr>
      <w:bookmarkStart w:id="29" w:name="_Toc470602007"/>
      <w:r w:rsidRPr="000F6C54">
        <w:rPr>
          <w:lang w:val="en-US"/>
        </w:rPr>
        <w:t>Sensors</w:t>
      </w:r>
      <w:bookmarkEnd w:id="29"/>
    </w:p>
    <w:p w:rsidR="00C4539F" w:rsidRDefault="00C4539F" w:rsidP="00C4539F">
      <w:pPr>
        <w:pStyle w:val="berschrift3"/>
        <w:rPr>
          <w:lang w:val="en-US"/>
        </w:rPr>
      </w:pPr>
      <w:bookmarkStart w:id="30" w:name="_Toc470602008"/>
      <w:r w:rsidRPr="000F6C54">
        <w:rPr>
          <w:lang w:val="en-US"/>
        </w:rPr>
        <w:t>Overview – sensors and actuators</w:t>
      </w:r>
      <w:bookmarkEnd w:id="30"/>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lastRenderedPageBreak/>
        <w:t xml:space="preserve">EMG (z.B. bei </w:t>
      </w:r>
      <w:r w:rsidR="00790866">
        <w:rPr>
          <w:lang w:val="de-DE"/>
        </w:rPr>
        <w:fldChar w:fldCharType="begin" w:fldLock="1"/>
      </w:r>
      <w:r w:rsidR="00DC66CB">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790866">
        <w:rPr>
          <w:lang w:val="de-DE"/>
        </w:rPr>
        <w:fldChar w:fldCharType="separate"/>
      </w:r>
      <w:r w:rsidR="00097B83" w:rsidRPr="00097B83">
        <w:rPr>
          <w:noProof/>
          <w:lang w:val="de-DE"/>
        </w:rPr>
        <w:t>(Rahman, Mitobe, Suzuki, Takano, &amp; Yoshimura,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xml:space="preserve">, object enrichment, think aloud protocol, zoom, and slow motion. In this section, we decompose </w:t>
      </w:r>
      <w:r w:rsidRPr="009902FC">
        <w:lastRenderedPageBreak/>
        <w:t>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31" w:name="_Toc470602009"/>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lastRenderedPageBreak/>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32" w:name="_Toc470602010"/>
      <w:r>
        <w:t xml:space="preserve">Sensors in </w:t>
      </w:r>
      <w:proofErr w:type="spellStart"/>
      <w:r>
        <w:t>augmented</w:t>
      </w:r>
      <w:proofErr w:type="spellEnd"/>
      <w:r>
        <w:t xml:space="preserve"> </w:t>
      </w:r>
      <w:proofErr w:type="spellStart"/>
      <w:r>
        <w:t>reality</w:t>
      </w:r>
      <w:bookmarkEnd w:id="32"/>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lastRenderedPageBreak/>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AE55D3">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 xml:space="preserve">vibration, </w:t>
      </w:r>
      <w:r w:rsidR="00B238C1" w:rsidRPr="00B238C1">
        <w:rPr>
          <w:b/>
          <w:bCs/>
        </w:rPr>
        <w:lastRenderedPageBreak/>
        <w:t>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33" w:name="_Toc470602011"/>
      <w:r>
        <w:t>Design Patterns</w:t>
      </w:r>
      <w:bookmarkEnd w:id="33"/>
    </w:p>
    <w:p w:rsidR="00E762AE" w:rsidRDefault="00E762AE" w:rsidP="00E762AE">
      <w:pPr>
        <w:pStyle w:val="berschrift3"/>
      </w:pPr>
      <w:bookmarkStart w:id="34" w:name="_Toc470602012"/>
      <w:proofErr w:type="spellStart"/>
      <w:r>
        <w:t>Overview</w:t>
      </w:r>
      <w:bookmarkEnd w:id="34"/>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w:t>
      </w:r>
      <w:r w:rsidRPr="00D83568">
        <w:lastRenderedPageBreak/>
        <w:t xml:space="preserve">(...)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lastRenderedPageBreak/>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5" w:name="_Toc470602013"/>
      <w:r>
        <w:t xml:space="preserve">Patterns </w:t>
      </w:r>
      <w:proofErr w:type="spellStart"/>
      <w:r>
        <w:t>for</w:t>
      </w:r>
      <w:proofErr w:type="spellEnd"/>
      <w:r>
        <w:t xml:space="preserve"> Games</w:t>
      </w:r>
      <w:bookmarkEnd w:id="35"/>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6" w:name="_Toc470602014"/>
      <w:r w:rsidRPr="00E762AE">
        <w:rPr>
          <w:lang w:val="en-US"/>
        </w:rPr>
        <w:t>Patterns for Augmented Reality and Augmented Reality Games</w:t>
      </w:r>
      <w:bookmarkEnd w:id="36"/>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lastRenderedPageBreak/>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lastRenderedPageBreak/>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7" w:name="_Toc470602015"/>
      <w:r w:rsidRPr="00C4539F">
        <w:rPr>
          <w:lang w:val="en-US"/>
        </w:rPr>
        <w:t xml:space="preserve">Development of a framework for sensor-supported </w:t>
      </w:r>
      <w:r>
        <w:rPr>
          <w:lang w:val="en-US"/>
        </w:rPr>
        <w:t>augmented reality games</w:t>
      </w:r>
      <w:bookmarkEnd w:id="37"/>
    </w:p>
    <w:p w:rsidR="00D37F6F" w:rsidRDefault="00D37F6F" w:rsidP="00D37F6F">
      <w:pPr>
        <w:pStyle w:val="berschrift2"/>
        <w:rPr>
          <w:lang w:val="en-US"/>
        </w:rPr>
      </w:pPr>
      <w:bookmarkStart w:id="38" w:name="_Toc470602016"/>
      <w:r>
        <w:rPr>
          <w:lang w:val="en-US"/>
        </w:rPr>
        <w:t>Conception</w:t>
      </w:r>
      <w:bookmarkEnd w:id="38"/>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 xml:space="preserve">“How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w:t>
      </w:r>
      <w:r w:rsidRPr="00D37F6F">
        <w:lastRenderedPageBreak/>
        <w:t>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9" w:name="_Toc470602017"/>
      <w:r>
        <w:rPr>
          <w:lang w:val="en-US"/>
        </w:rPr>
        <w:t>References</w:t>
      </w:r>
      <w:bookmarkEnd w:id="39"/>
    </w:p>
    <w:p w:rsidR="00D07A2F" w:rsidRPr="00D07A2F" w:rsidRDefault="006B7192" w:rsidP="00D07A2F">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D07A2F" w:rsidRPr="00D07A2F">
        <w:rPr>
          <w:noProof/>
          <w:szCs w:val="24"/>
        </w:rPr>
        <w:t xml:space="preserve">Antonaci, A., Klemke, R., &amp; Specht, M. (2015). Towards Design Patterns for Augmented Reality Serious Games. In </w:t>
      </w:r>
      <w:r w:rsidR="00D07A2F" w:rsidRPr="00D07A2F">
        <w:rPr>
          <w:i/>
          <w:iCs/>
          <w:noProof/>
          <w:szCs w:val="24"/>
        </w:rPr>
        <w:t>The Mobile Learning Voyage - From Small Ripples to Massive Open Waters</w:t>
      </w:r>
      <w:r w:rsidR="00D07A2F" w:rsidRPr="00D07A2F">
        <w:rPr>
          <w:noProof/>
          <w:szCs w:val="24"/>
        </w:rPr>
        <w:t xml:space="preserve"> (pp. 273–282). https://doi.org/10.1007/978-3-319-25684-9_20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Azuma, R. T. (1997). A Survey of Augmented Reality. </w:t>
      </w:r>
      <w:r w:rsidRPr="00D07A2F">
        <w:rPr>
          <w:i/>
          <w:iCs/>
          <w:noProof/>
          <w:szCs w:val="24"/>
        </w:rPr>
        <w:t>Presence: Teleoperators and Virtual Environments</w:t>
      </w:r>
      <w:r w:rsidRPr="00D07A2F">
        <w:rPr>
          <w:noProof/>
          <w:szCs w:val="24"/>
        </w:rPr>
        <w:t xml:space="preserve">, </w:t>
      </w:r>
      <w:r w:rsidRPr="00D07A2F">
        <w:rPr>
          <w:i/>
          <w:iCs/>
          <w:noProof/>
          <w:szCs w:val="24"/>
        </w:rPr>
        <w:t>6</w:t>
      </w:r>
      <w:r w:rsidRPr="00D07A2F">
        <w:rPr>
          <w:noProof/>
          <w:szCs w:val="24"/>
        </w:rPr>
        <w:t>(4), 355–385. Retrieved from http://www.dca.fee.unicamp.br/~leopini/DISCIPLINAS/IA369T-22014/Seminarios-entregues/Grupos-Visualização/Visualizacao-Gr-LuisPattam-paperdeapoio-1.pdf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Azuma, R. T., Baillot, Y., Behringer, R., Feiner, S., Julier, S., &amp; MacIntyre, B. (2001). Recent advances in augmented reality. </w:t>
      </w:r>
      <w:r w:rsidRPr="00D07A2F">
        <w:rPr>
          <w:i/>
          <w:iCs/>
          <w:noProof/>
          <w:szCs w:val="24"/>
        </w:rPr>
        <w:t>IEEE Computer Graphics and Applications</w:t>
      </w:r>
      <w:r w:rsidRPr="00D07A2F">
        <w:rPr>
          <w:noProof/>
          <w:szCs w:val="24"/>
        </w:rPr>
        <w:t xml:space="preserve">, </w:t>
      </w:r>
      <w:r w:rsidRPr="00D07A2F">
        <w:rPr>
          <w:i/>
          <w:iCs/>
          <w:noProof/>
          <w:szCs w:val="24"/>
        </w:rPr>
        <w:t>21</w:t>
      </w:r>
      <w:r w:rsidRPr="00D07A2F">
        <w:rPr>
          <w:noProof/>
          <w:szCs w:val="24"/>
        </w:rPr>
        <w:t>(6), 34–47. https://doi.org/10.4061/2011/908468</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Bauer, S., Wasza, J., Haase, S., Marosi, N., &amp; Hornegger, J. (2011). Multi-modal Surface Registration for Markerless Initial Patient Setup in Radiation Therapy using Microsoft’s Kinect Sensor. In </w:t>
      </w:r>
      <w:r w:rsidRPr="00D07A2F">
        <w:rPr>
          <w:i/>
          <w:iCs/>
          <w:noProof/>
          <w:szCs w:val="24"/>
        </w:rPr>
        <w:t>Proc. IEEE Workshop on Consumer Depth Cameras for Computer Vision (CDC4CV)</w:t>
      </w:r>
      <w:r w:rsidRPr="00D07A2F">
        <w:rPr>
          <w:noProof/>
          <w:szCs w:val="24"/>
        </w:rPr>
        <w:t xml:space="preserve"> (pp. 1175–1181). IEEE Press. Retrieved from http://www5.informatik.uni-erlangen.de/Forschung/Publikationen/2011/Bauer11-MSR.pdf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Benko, H., Holz, C., Sinclair, M., &amp; Ofek, E. (2016). NormalTouch and TextureTouch : High-fidelity 3D Haptic Shape Rendering on Handheld Virtual Reality Controllers. In </w:t>
      </w:r>
      <w:r w:rsidRPr="00D07A2F">
        <w:rPr>
          <w:i/>
          <w:iCs/>
          <w:noProof/>
          <w:szCs w:val="24"/>
        </w:rPr>
        <w:t>Proceedings of the 29th Annual Symposium on User Interface Software and Technology</w:t>
      </w:r>
      <w:r w:rsidRPr="00D07A2F">
        <w:rPr>
          <w:noProof/>
          <w:szCs w:val="24"/>
        </w:rPr>
        <w:t xml:space="preserve"> (pp. 717–728). ACM. https://doi.org/10.1145/2984511.2984526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Biocca, F. A., &amp; Rolland, J. P. (1998). Virtual Eyes Can Rearrange Your Body: Adaptation to Visual Displacement in See-Through, Head-Mounted Displays. </w:t>
      </w:r>
      <w:r w:rsidRPr="00D07A2F">
        <w:rPr>
          <w:i/>
          <w:iCs/>
          <w:noProof/>
          <w:szCs w:val="24"/>
        </w:rPr>
        <w:t xml:space="preserve">Presence: Teleoperators </w:t>
      </w:r>
      <w:r w:rsidRPr="00D07A2F">
        <w:rPr>
          <w:i/>
          <w:iCs/>
          <w:noProof/>
          <w:szCs w:val="24"/>
        </w:rPr>
        <w:lastRenderedPageBreak/>
        <w:t>and Virtual Environments</w:t>
      </w:r>
      <w:r w:rsidRPr="00D07A2F">
        <w:rPr>
          <w:noProof/>
          <w:szCs w:val="24"/>
        </w:rPr>
        <w:t xml:space="preserve">, </w:t>
      </w:r>
      <w:r w:rsidRPr="00D07A2F">
        <w:rPr>
          <w:i/>
          <w:iCs/>
          <w:noProof/>
          <w:szCs w:val="24"/>
        </w:rPr>
        <w:t>7</w:t>
      </w:r>
      <w:r w:rsidRPr="00D07A2F">
        <w:rPr>
          <w:noProof/>
          <w:szCs w:val="24"/>
        </w:rPr>
        <w:t>(3), 262–277. Retrieved from http://citeseerx.ist.psu.edu/viewdoc/download?doi=10.1.1.541.8417&amp;rep=rep1&amp;type=pdf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Bower, M., Howe, C., McCredie, N., Robinson, A., &amp; Grover, D. (2014). Augmented Reality in education – cases, places and potentials. </w:t>
      </w:r>
      <w:r w:rsidRPr="00D07A2F">
        <w:rPr>
          <w:i/>
          <w:iCs/>
          <w:noProof/>
          <w:szCs w:val="24"/>
        </w:rPr>
        <w:t>Educational Media International</w:t>
      </w:r>
      <w:r w:rsidRPr="00D07A2F">
        <w:rPr>
          <w:noProof/>
          <w:szCs w:val="24"/>
        </w:rPr>
        <w:t xml:space="preserve">, </w:t>
      </w:r>
      <w:r w:rsidRPr="00D07A2F">
        <w:rPr>
          <w:i/>
          <w:iCs/>
          <w:noProof/>
          <w:szCs w:val="24"/>
        </w:rPr>
        <w:t>51</w:t>
      </w:r>
      <w:r w:rsidRPr="00D07A2F">
        <w:rPr>
          <w:noProof/>
          <w:szCs w:val="24"/>
        </w:rPr>
        <w:t>(1), 1–15. https://doi.org/10.1080/09523987.2014.889400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Calo, R., Denning, T., Friedman, B., Kohno, T., Magassa, L., McReynolds, E., … Woo, J. (2015). Augmented Reality: A Technology and Policy Primer. Retrieved from http://techpolicylab.org/wp-content/uploads/2016/02/Augmented_Reality_Primer-TechPolicyLab.pdf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Chandler, D., &amp; Munday, R. (2011). A Dictionary of Media and Communication. Oxford University Press. https://doi.org/10.1093/acref/9780199568758.001.0001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Crecente, B. (2016). Pokémon Go breaks iTunes record, Apple confirms. Retrieved December 27, 2016, from http://www.polygon.com/2016/7/22/12258490/pokemon-go-itunes-record-apple-confirms</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Dede, C. (2009). Immersive Interfaces for Engagement and Learning. </w:t>
      </w:r>
      <w:r w:rsidRPr="00D07A2F">
        <w:rPr>
          <w:i/>
          <w:iCs/>
          <w:noProof/>
          <w:szCs w:val="24"/>
        </w:rPr>
        <w:t>Science</w:t>
      </w:r>
      <w:r w:rsidRPr="00D07A2F">
        <w:rPr>
          <w:noProof/>
          <w:szCs w:val="24"/>
        </w:rPr>
        <w:t xml:space="preserve">, </w:t>
      </w:r>
      <w:r w:rsidRPr="00D07A2F">
        <w:rPr>
          <w:i/>
          <w:iCs/>
          <w:noProof/>
          <w:szCs w:val="24"/>
        </w:rPr>
        <w:t>323</w:t>
      </w:r>
      <w:r w:rsidRPr="00D07A2F">
        <w:rPr>
          <w:noProof/>
          <w:szCs w:val="24"/>
        </w:rPr>
        <w:t>(5910), 66–69. Retrieved from https://pdfs.semanticscholar.org/844a/742b416bf914c3e22e6a0c3d9f7f1d58a185.pdf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Dunleavy, M. (2014). Design Principles for Augmented Reality Learning. </w:t>
      </w:r>
      <w:r w:rsidRPr="00D07A2F">
        <w:rPr>
          <w:i/>
          <w:iCs/>
          <w:noProof/>
          <w:szCs w:val="24"/>
        </w:rPr>
        <w:t>TechTrends</w:t>
      </w:r>
      <w:r w:rsidRPr="00D07A2F">
        <w:rPr>
          <w:noProof/>
          <w:szCs w:val="24"/>
        </w:rPr>
        <w:t xml:space="preserve">, </w:t>
      </w:r>
      <w:r w:rsidRPr="00D07A2F">
        <w:rPr>
          <w:i/>
          <w:iCs/>
          <w:noProof/>
          <w:szCs w:val="24"/>
        </w:rPr>
        <w:t>58</w:t>
      </w:r>
      <w:r w:rsidRPr="00D07A2F">
        <w:rPr>
          <w:noProof/>
          <w:szCs w:val="24"/>
        </w:rPr>
        <w:t>(1), 28–34. https://doi.org/10.1007/s11528-013-0717-2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Dunleavy, M., Dede, C., &amp; Mitchell, R. (2009). Affordances and limitations of immersive participatory augmented reality simulations for teaching and learning. </w:t>
      </w:r>
      <w:r w:rsidRPr="00D07A2F">
        <w:rPr>
          <w:i/>
          <w:iCs/>
          <w:noProof/>
          <w:szCs w:val="24"/>
        </w:rPr>
        <w:t>Journal of Science Education and Technology</w:t>
      </w:r>
      <w:r w:rsidRPr="00D07A2F">
        <w:rPr>
          <w:noProof/>
          <w:szCs w:val="24"/>
        </w:rPr>
        <w:t xml:space="preserve">, </w:t>
      </w:r>
      <w:r w:rsidRPr="00D07A2F">
        <w:rPr>
          <w:i/>
          <w:iCs/>
          <w:noProof/>
          <w:szCs w:val="24"/>
        </w:rPr>
        <w:t>18</w:t>
      </w:r>
      <w:r w:rsidRPr="00D07A2F">
        <w:rPr>
          <w:noProof/>
          <w:szCs w:val="24"/>
        </w:rPr>
        <w:t>(1), 7–22. https://doi.org/10.1007/s10956-008-9119-1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Feiner, S., MacIntyre, B., Höllerer, T., &amp; Webster, A. (1997). A Touring Machine: Prototyping 3D Mobile Augmented Reality Systems for Exploring the Urban Environment. </w:t>
      </w:r>
      <w:r w:rsidRPr="00D07A2F">
        <w:rPr>
          <w:i/>
          <w:iCs/>
          <w:noProof/>
          <w:szCs w:val="24"/>
        </w:rPr>
        <w:t>Personal Technologies</w:t>
      </w:r>
      <w:r w:rsidRPr="00D07A2F">
        <w:rPr>
          <w:noProof/>
          <w:szCs w:val="24"/>
        </w:rPr>
        <w:t xml:space="preserve">, </w:t>
      </w:r>
      <w:r w:rsidRPr="00D07A2F">
        <w:rPr>
          <w:i/>
          <w:iCs/>
          <w:noProof/>
          <w:szCs w:val="24"/>
        </w:rPr>
        <w:t>1</w:t>
      </w:r>
      <w:r w:rsidRPr="00D07A2F">
        <w:rPr>
          <w:noProof/>
          <w:szCs w:val="24"/>
        </w:rPr>
        <w:t>(4), 208–217. Retrieved from https://www.researchgate.net/profile/Blair_Macintyre/publication/221240775_A_Touring_Machine_Prototyping_3D_Mobile_Augmented_Reality_Systems_for_Exploring_the_Urban_Environment/links/0f31753c5290d35949000000.pdf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FitzGerald, E., Ferguson, R., Adams, A., Gaved, M., Mor, Y., &amp; Thomas, R. (2013). Augmented reality and mobile learning: the state of the art. </w:t>
      </w:r>
      <w:r w:rsidRPr="00D07A2F">
        <w:rPr>
          <w:i/>
          <w:iCs/>
          <w:noProof/>
          <w:szCs w:val="24"/>
        </w:rPr>
        <w:t>International Journal of Mobile and Blended Learning</w:t>
      </w:r>
      <w:r w:rsidRPr="00D07A2F">
        <w:rPr>
          <w:noProof/>
          <w:szCs w:val="24"/>
        </w:rPr>
        <w:t xml:space="preserve">, </w:t>
      </w:r>
      <w:r w:rsidRPr="00D07A2F">
        <w:rPr>
          <w:i/>
          <w:iCs/>
          <w:noProof/>
          <w:szCs w:val="24"/>
        </w:rPr>
        <w:t>5</w:t>
      </w:r>
      <w:r w:rsidRPr="00D07A2F">
        <w:rPr>
          <w:noProof/>
          <w:szCs w:val="24"/>
        </w:rPr>
        <w:t>(4), 43–58. Retrieved from http://oro.open.ac.uk/38386/8/__userdata_documents4_ctb44_Desktop_FitzGerald paper-IJMBL 5%284%29.pdf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Fitzgerald, E., Taylor, C., &amp; Craven, M. (2013). To the Castle! A comparison of two audio guides to enable public discovery of historical events. </w:t>
      </w:r>
      <w:r w:rsidRPr="00D07A2F">
        <w:rPr>
          <w:i/>
          <w:iCs/>
          <w:noProof/>
          <w:szCs w:val="24"/>
        </w:rPr>
        <w:t>Personal and Ubiquitous Computing</w:t>
      </w:r>
      <w:r w:rsidRPr="00D07A2F">
        <w:rPr>
          <w:noProof/>
          <w:szCs w:val="24"/>
        </w:rPr>
        <w:t xml:space="preserve">, </w:t>
      </w:r>
      <w:r w:rsidRPr="00D07A2F">
        <w:rPr>
          <w:i/>
          <w:iCs/>
          <w:noProof/>
          <w:szCs w:val="24"/>
        </w:rPr>
        <w:t>17</w:t>
      </w:r>
      <w:r w:rsidRPr="00D07A2F">
        <w:rPr>
          <w:noProof/>
          <w:szCs w:val="24"/>
        </w:rPr>
        <w:t>(4), 749–760. https://doi.org/10.1007/s00779-012-0624-0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lastRenderedPageBreak/>
        <w:t xml:space="preserve">Furmanski, C., Azuma, R. T., &amp; Daily, M. (2002). Augmented-reality visualizations guided by cognition: Perceptual heuristics for combining visible and obscured information. In </w:t>
      </w:r>
      <w:r w:rsidRPr="00D07A2F">
        <w:rPr>
          <w:i/>
          <w:iCs/>
          <w:noProof/>
          <w:szCs w:val="24"/>
        </w:rPr>
        <w:t>Proceedings of the International Symposium on Mixed and Augmented Reality (ISMAR’02)</w:t>
      </w:r>
      <w:r w:rsidRPr="00D07A2F">
        <w:rPr>
          <w:noProof/>
          <w:szCs w:val="24"/>
        </w:rPr>
        <w:t>. IEEE. https://doi.org/10.1109/ISMAR.2002.1115091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Henderson, S. J., &amp; Feiner, S. (2009). Evaluating the benefits of augmented reality for task localization in maintenance of an armored personnel carrier turret. In </w:t>
      </w:r>
      <w:r w:rsidRPr="00D07A2F">
        <w:rPr>
          <w:i/>
          <w:iCs/>
          <w:noProof/>
          <w:szCs w:val="24"/>
        </w:rPr>
        <w:t>IEEE International Symposium on Mixed and Augmented Reality 2009</w:t>
      </w:r>
      <w:r w:rsidRPr="00D07A2F">
        <w:rPr>
          <w:noProof/>
          <w:szCs w:val="24"/>
        </w:rPr>
        <w:t xml:space="preserve"> (pp. 135–144). IEEE. https://doi.org/10.1109/ISMAR.2009.5336486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Hol, J. D., Schön, T. B., Gustafsson, F., &amp; Slycke, P. J. (2006). Sensor Fusion for Augmented Reality. In </w:t>
      </w:r>
      <w:r w:rsidRPr="00D07A2F">
        <w:rPr>
          <w:i/>
          <w:iCs/>
          <w:noProof/>
          <w:szCs w:val="24"/>
        </w:rPr>
        <w:t>2006 9th International Conference on Information Fusion</w:t>
      </w:r>
      <w:r w:rsidRPr="00D07A2F">
        <w:rPr>
          <w:noProof/>
          <w:szCs w:val="24"/>
        </w:rPr>
        <w:t xml:space="preserve"> (pp. 1–6). IEEE. https://doi.org/10.1109/ICIF.2006.301604</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Ishii, H., Wisneski, C., Orbanes, J., Chun, B., &amp; Paradiso, J. (1999). PingPongPlus: design of an athletic-tangible interface for computer-supported cooperative play. In </w:t>
      </w:r>
      <w:r w:rsidRPr="00D07A2F">
        <w:rPr>
          <w:i/>
          <w:iCs/>
          <w:noProof/>
          <w:szCs w:val="24"/>
        </w:rPr>
        <w:t>Proceedings of the SIGCHI conference on Human factors in computing systems</w:t>
      </w:r>
      <w:r w:rsidRPr="00D07A2F">
        <w:rPr>
          <w:noProof/>
          <w:szCs w:val="24"/>
        </w:rPr>
        <w:t>. ACM. https://doi.org/http://doi.acm.org/10.1145/302979.303115</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D. M., &amp; Wiles, J. (2003). Effective Affective User Interface Design in Games. </w:t>
      </w:r>
      <w:r w:rsidRPr="00D07A2F">
        <w:rPr>
          <w:i/>
          <w:iCs/>
          <w:noProof/>
          <w:szCs w:val="24"/>
        </w:rPr>
        <w:t>Ergonomics</w:t>
      </w:r>
      <w:r w:rsidRPr="00D07A2F">
        <w:rPr>
          <w:noProof/>
          <w:szCs w:val="24"/>
        </w:rPr>
        <w:t xml:space="preserve">, </w:t>
      </w:r>
      <w:r w:rsidRPr="00D07A2F">
        <w:rPr>
          <w:i/>
          <w:iCs/>
          <w:noProof/>
          <w:szCs w:val="24"/>
        </w:rPr>
        <w:t>46</w:t>
      </w:r>
      <w:r w:rsidRPr="00D07A2F">
        <w:rPr>
          <w:noProof/>
          <w:szCs w:val="24"/>
        </w:rPr>
        <w:t>(13/14), 1332–1345. Retrieved from http://eprints.qut.edu.au/6693/1/6693.pdf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L., Adams Becker, S., Cummins, M., Estrada, V., Freeman, A., &amp; Hall, C. (2016). </w:t>
      </w:r>
      <w:r w:rsidRPr="00D07A2F">
        <w:rPr>
          <w:i/>
          <w:iCs/>
          <w:noProof/>
          <w:szCs w:val="24"/>
        </w:rPr>
        <w:t>NMC Horizon Report: 2016 Higher Education Edition.</w:t>
      </w:r>
      <w:r w:rsidRPr="00D07A2F">
        <w:rPr>
          <w:noProof/>
          <w:szCs w:val="24"/>
        </w:rPr>
        <w:t xml:space="preserve"> Austin, Texas: The New Media Consortium. Retrieved from http://cdn.nmc.org/media/2016-nmc-horizon-report-he-EN.pdf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L., Smith, R., Willis, H., Levine, A., &amp; Haywood, K. (2011). </w:t>
      </w:r>
      <w:r w:rsidRPr="00D07A2F">
        <w:rPr>
          <w:i/>
          <w:iCs/>
          <w:noProof/>
          <w:szCs w:val="24"/>
        </w:rPr>
        <w:t>The 2011 Horizon Report</w:t>
      </w:r>
      <w:r w:rsidRPr="00D07A2F">
        <w:rPr>
          <w:noProof/>
          <w:szCs w:val="24"/>
        </w:rPr>
        <w:t>. Austin, Texas: The New Media Consortium. Retrieved from http://www.nmc.org/pdf/2011-Horizon-Report.pdf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Julier, S., Lanzagorta, M., Baillot, Y., Rosenblum, L., Feiner, S., Höllerer, T., &amp; Sestito, S. (2000). Information filtering for mobile augmented reality. In </w:t>
      </w:r>
      <w:r w:rsidRPr="00D07A2F">
        <w:rPr>
          <w:i/>
          <w:iCs/>
          <w:noProof/>
          <w:szCs w:val="24"/>
        </w:rPr>
        <w:t>Proceedings - IEEE and ACM International Symposium on Augmented Reality, ISAR 2000</w:t>
      </w:r>
      <w:r w:rsidRPr="00D07A2F">
        <w:rPr>
          <w:noProof/>
          <w:szCs w:val="24"/>
        </w:rPr>
        <w:t xml:space="preserve"> (pp. 3–11). IEEE. https://doi.org/10.1109/ISAR.2000.880917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Kreimeier, B. (2002). The Case For Game Design Patterns. Retrieved December 14, 2016, from http://www.gamasutra.com/view/feature/4261/the_case_for</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Kruijff, E., Swan II, J. E., &amp; Feiner, S. (2010). Perceptual Issues in Augmented Reality Revisited. Retrieved from http://www.icg.tu-graz.ac.at/Members/kruijff/perceptual_issues_AR.pdf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Lamantia, J. (2009). Inside Out: Interaction Design for Augmented Reality. Retrieved December 19, 2016, from http://www.uxmatters.com/mt/archives/2009/08/inside-out-</w:t>
      </w:r>
      <w:r w:rsidRPr="00D07A2F">
        <w:rPr>
          <w:noProof/>
          <w:szCs w:val="24"/>
        </w:rPr>
        <w:lastRenderedPageBreak/>
        <w:t>interaction-design-for-augmented-reality.php</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Luckin, R., &amp; Stanton Fraser, D. (2011). Limitless or pointless?: An Evaluation of Augmented Reality Technology in the School and Home. </w:t>
      </w:r>
      <w:r w:rsidRPr="00D07A2F">
        <w:rPr>
          <w:i/>
          <w:iCs/>
          <w:noProof/>
          <w:szCs w:val="24"/>
        </w:rPr>
        <w:t>International Journal of Technology Enhanced Learning</w:t>
      </w:r>
      <w:r w:rsidRPr="00D07A2F">
        <w:rPr>
          <w:noProof/>
          <w:szCs w:val="24"/>
        </w:rPr>
        <w:t xml:space="preserve">, </w:t>
      </w:r>
      <w:r w:rsidRPr="00D07A2F">
        <w:rPr>
          <w:i/>
          <w:iCs/>
          <w:noProof/>
          <w:szCs w:val="24"/>
        </w:rPr>
        <w:t>3</w:t>
      </w:r>
      <w:r w:rsidRPr="00D07A2F">
        <w:rPr>
          <w:noProof/>
          <w:szCs w:val="24"/>
        </w:rPr>
        <w:t>(5), 510–524. Retrieved from https://www.researchgate.net/profile/Rosemary_Luckin/publication/262287243_Limitless_or_pointless_An_evaluation_of_augmented_reality_technology_in_the_school_and_home/links/5481c4a40cf2792435d8878d.pdf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Lundgren, S., &amp; Björk, S. (2003). Game Mechanics: Describing Computer-Augmented Games in Terms of Interaction. In </w:t>
      </w:r>
      <w:r w:rsidRPr="00D07A2F">
        <w:rPr>
          <w:i/>
          <w:iCs/>
          <w:noProof/>
          <w:szCs w:val="24"/>
        </w:rPr>
        <w:t>Proceedings of TIDSE ’03</w:t>
      </w:r>
      <w:r w:rsidRPr="00D07A2F">
        <w:rPr>
          <w:noProof/>
          <w:szCs w:val="24"/>
        </w:rPr>
        <w:t>. Retrieved from http://www.cse.chalmers.se/research/group/idc/publication/pdf/lundgren_bjork_game_mechanics.pdf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Mattern, F., &amp; Floerkemeier, C. (2010). From the Internet of Computers to the Internet of Things. In K. Sachs, I. Petrov, &amp; P. Guerrero (Eds.), </w:t>
      </w:r>
      <w:r w:rsidRPr="00D07A2F">
        <w:rPr>
          <w:i/>
          <w:iCs/>
          <w:noProof/>
          <w:szCs w:val="24"/>
        </w:rPr>
        <w:t>From Active Data Management to Event-Based Systems and More (Lecture Notes in Computer Science, 6462)</w:t>
      </w:r>
      <w:r w:rsidRPr="00D07A2F">
        <w:rPr>
          <w:noProof/>
          <w:szCs w:val="24"/>
        </w:rPr>
        <w:t xml:space="preserve"> (pp. 242–259). Springer Berlin Heidelberg. Retrieved from http://ruangbacafmipa.staff.ub.ac.id/files/2012/02/ebooksclub.org__From_Active_Data_Management_to_Event_Based_Systems_and_More.pdf#page=258</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McGee, K. (2007). Patterns and Computer Game Design Innovation. In </w:t>
      </w:r>
      <w:r w:rsidRPr="00D07A2F">
        <w:rPr>
          <w:i/>
          <w:iCs/>
          <w:noProof/>
          <w:szCs w:val="24"/>
        </w:rPr>
        <w:t>Proceedings of the 4th Australasian conference on Interactive entertainment</w:t>
      </w:r>
      <w:r w:rsidRPr="00D07A2F">
        <w:rPr>
          <w:noProof/>
          <w:szCs w:val="24"/>
        </w:rPr>
        <w:t>. RMIT University. Retrieved from http://citeseerx.ist.psu.edu/viewdoc/download?doi=10.1.1.90.29&amp;rep=rep1&amp;type=pdf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Milgram, P., &amp; Kishino, F. (1994). Taxonomy of mixed reality visual displays. </w:t>
      </w:r>
      <w:r w:rsidRPr="00D07A2F">
        <w:rPr>
          <w:i/>
          <w:iCs/>
          <w:noProof/>
          <w:szCs w:val="24"/>
        </w:rPr>
        <w:t>IEICE Transactions on Information and Systems</w:t>
      </w:r>
      <w:r w:rsidRPr="00D07A2F">
        <w:rPr>
          <w:noProof/>
          <w:szCs w:val="24"/>
        </w:rPr>
        <w:t xml:space="preserve">, </w:t>
      </w:r>
      <w:r w:rsidRPr="00D07A2F">
        <w:rPr>
          <w:i/>
          <w:iCs/>
          <w:noProof/>
          <w:szCs w:val="24"/>
        </w:rPr>
        <w:t>77</w:t>
      </w:r>
      <w:r w:rsidRPr="00D07A2F">
        <w:rPr>
          <w:noProof/>
          <w:szCs w:val="24"/>
        </w:rPr>
        <w:t>(12), 1321–1329. https://doi.org/10.1.1.102.4646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Mulloni, A., Dünser, A., &amp; Schmalstieg, D. (2010). Zooming Interfaces for Augmented Reality Browsers. In </w:t>
      </w:r>
      <w:r w:rsidRPr="00D07A2F">
        <w:rPr>
          <w:i/>
          <w:iCs/>
          <w:noProof/>
          <w:szCs w:val="24"/>
        </w:rPr>
        <w:t>Proceedings of the 12th international conference on Human computer interaction with mobile devices and services</w:t>
      </w:r>
      <w:r w:rsidRPr="00D07A2F">
        <w:rPr>
          <w:noProof/>
          <w:szCs w:val="24"/>
        </w:rPr>
        <w:t xml:space="preserve"> (pp. 161–170). New York: ACM. https://doi.org/10.1145/1851600.1851629</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Munnerley, D., Bacon, M., Wilson, A., Steele, J., Hedberg, J., &amp; Fitzgerald, R. (2012). Confronting an augmented reality. </w:t>
      </w:r>
      <w:r w:rsidRPr="00D07A2F">
        <w:rPr>
          <w:i/>
          <w:iCs/>
          <w:noProof/>
          <w:szCs w:val="24"/>
        </w:rPr>
        <w:t>Research in Lerning Technology</w:t>
      </w:r>
      <w:r w:rsidRPr="00D07A2F">
        <w:rPr>
          <w:noProof/>
          <w:szCs w:val="24"/>
        </w:rPr>
        <w:t xml:space="preserve">, </w:t>
      </w:r>
      <w:r w:rsidRPr="00D07A2F">
        <w:rPr>
          <w:i/>
          <w:iCs/>
          <w:noProof/>
          <w:szCs w:val="24"/>
        </w:rPr>
        <w:t>20</w:t>
      </w:r>
      <w:r w:rsidRPr="00D07A2F">
        <w:rPr>
          <w:noProof/>
          <w:szCs w:val="24"/>
        </w:rPr>
        <w:t>, 39–48. https://doi.org/10.3402/rlt.v20i0.19189</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Nilsson, S., Johansson, B., &amp; Jönsson, A. (2009). Using AR to support cross-organisational collaboration in dynamic tasks. In </w:t>
      </w:r>
      <w:r w:rsidRPr="00D07A2F">
        <w:rPr>
          <w:i/>
          <w:iCs/>
          <w:noProof/>
          <w:szCs w:val="24"/>
        </w:rPr>
        <w:t>In Proceedings of the 8th IEEE International Symposium on Mixed and Augmented Reality, ISMAR</w:t>
      </w:r>
      <w:r w:rsidRPr="00D07A2F">
        <w:rPr>
          <w:noProof/>
          <w:szCs w:val="24"/>
        </w:rPr>
        <w:t xml:space="preserve"> (pp. 3–12). Washington, DC: IEEE Computer Society. https://doi.org/10.1109/ISMAR.2009.5336522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Olshannikova, E., Ometov, A., Koucheryavy, Y., &amp; Olsson, T. (2015). Visualizing Big Data with augmented and virtual reality: challenges and research agenda. </w:t>
      </w:r>
      <w:r w:rsidRPr="00D07A2F">
        <w:rPr>
          <w:i/>
          <w:iCs/>
          <w:noProof/>
          <w:szCs w:val="24"/>
        </w:rPr>
        <w:t>Journal of Big Data</w:t>
      </w:r>
      <w:r w:rsidRPr="00D07A2F">
        <w:rPr>
          <w:noProof/>
          <w:szCs w:val="24"/>
        </w:rPr>
        <w:t xml:space="preserve">, </w:t>
      </w:r>
      <w:r w:rsidRPr="00D07A2F">
        <w:rPr>
          <w:i/>
          <w:iCs/>
          <w:noProof/>
          <w:szCs w:val="24"/>
        </w:rPr>
        <w:lastRenderedPageBreak/>
        <w:t>2</w:t>
      </w:r>
      <w:r w:rsidRPr="00D07A2F">
        <w:rPr>
          <w:noProof/>
          <w:szCs w:val="24"/>
        </w:rPr>
        <w:t>(1). https://doi.org/10.1186/s40537-015-0031-2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Papagiannakis, G., Singh, G., &amp; Magnenat-Thalmann, N. (2008). A survey of mobile and wireless technologies for augmented reality systems. </w:t>
      </w:r>
      <w:r w:rsidRPr="00D07A2F">
        <w:rPr>
          <w:i/>
          <w:iCs/>
          <w:noProof/>
          <w:szCs w:val="24"/>
        </w:rPr>
        <w:t>Computer Animation and Virtual Worlds</w:t>
      </w:r>
      <w:r w:rsidRPr="00D07A2F">
        <w:rPr>
          <w:noProof/>
          <w:szCs w:val="24"/>
        </w:rPr>
        <w:t xml:space="preserve">, </w:t>
      </w:r>
      <w:r w:rsidRPr="00D07A2F">
        <w:rPr>
          <w:i/>
          <w:iCs/>
          <w:noProof/>
          <w:szCs w:val="24"/>
        </w:rPr>
        <w:t>19</w:t>
      </w:r>
      <w:r w:rsidRPr="00D07A2F">
        <w:rPr>
          <w:noProof/>
          <w:szCs w:val="24"/>
        </w:rPr>
        <w:t>(1), 3–22. Retrieved from http://calhoun.nps.edu/bitstream/handle/10945/41253/Singh_d912f5075af50e0812_2008.pdf?sequence=1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Radu, I. (2014). Augmented reality in education: a meta-review and cross-media analysis. </w:t>
      </w:r>
      <w:r w:rsidRPr="00D07A2F">
        <w:rPr>
          <w:i/>
          <w:iCs/>
          <w:noProof/>
          <w:szCs w:val="24"/>
        </w:rPr>
        <w:t>Personal and Ubiquitous Computing</w:t>
      </w:r>
      <w:r w:rsidRPr="00D07A2F">
        <w:rPr>
          <w:noProof/>
          <w:szCs w:val="24"/>
        </w:rPr>
        <w:t xml:space="preserve">, </w:t>
      </w:r>
      <w:r w:rsidRPr="00D07A2F">
        <w:rPr>
          <w:i/>
          <w:iCs/>
          <w:noProof/>
          <w:szCs w:val="24"/>
        </w:rPr>
        <w:t>18</w:t>
      </w:r>
      <w:r w:rsidRPr="00D07A2F">
        <w:rPr>
          <w:noProof/>
          <w:szCs w:val="24"/>
        </w:rPr>
        <w:t>(6), 1533–1543. https://doi.org/10.1007/s00779-013-0747-y</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Rahman, M. M., Mitobe, K., Suzuki, M., Takano, C., &amp; Yoshimura, N. (2011). Analysis of dexterous finger movement for piano education using motion capture system. </w:t>
      </w:r>
      <w:r w:rsidRPr="00D07A2F">
        <w:rPr>
          <w:i/>
          <w:iCs/>
          <w:noProof/>
          <w:szCs w:val="24"/>
        </w:rPr>
        <w:t>International Journal of Science and Technology Education Research</w:t>
      </w:r>
      <w:r w:rsidRPr="00D07A2F">
        <w:rPr>
          <w:noProof/>
          <w:szCs w:val="24"/>
        </w:rPr>
        <w:t xml:space="preserve">, </w:t>
      </w:r>
      <w:r w:rsidRPr="00D07A2F">
        <w:rPr>
          <w:i/>
          <w:iCs/>
          <w:noProof/>
          <w:szCs w:val="24"/>
        </w:rPr>
        <w:t>2</w:t>
      </w:r>
      <w:r w:rsidRPr="00D07A2F">
        <w:rPr>
          <w:noProof/>
          <w:szCs w:val="24"/>
        </w:rPr>
        <w:t>(2), 22–31. Retrieved from http://www.academicjournals.org/journal/IJSTER/article-full-text-pdf/802984F2917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Robinett, W. (1992). Synthetic experience: a proposed taxonomy. </w:t>
      </w:r>
      <w:r w:rsidRPr="00D07A2F">
        <w:rPr>
          <w:i/>
          <w:iCs/>
          <w:noProof/>
          <w:szCs w:val="24"/>
        </w:rPr>
        <w:t>Presence: Teleoperators and Virtual Environments</w:t>
      </w:r>
      <w:r w:rsidRPr="00D07A2F">
        <w:rPr>
          <w:noProof/>
          <w:szCs w:val="24"/>
        </w:rPr>
        <w:t xml:space="preserve">, </w:t>
      </w:r>
      <w:r w:rsidRPr="00D07A2F">
        <w:rPr>
          <w:i/>
          <w:iCs/>
          <w:noProof/>
          <w:szCs w:val="24"/>
        </w:rPr>
        <w:t>1</w:t>
      </w:r>
      <w:r w:rsidRPr="00D07A2F">
        <w:rPr>
          <w:noProof/>
          <w:szCs w:val="24"/>
        </w:rPr>
        <w:t>(2), 229–247.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Schall, G., Wagner, D., Reitmayr, G., Taichmann, E., Wieser, M., Schmalstieg, D., &amp; Hofmann-Wellenhof, B. (2009). Global Pose Estimation using Multi-Sensor Fusion for Outdoor Augmented Reality. In </w:t>
      </w:r>
      <w:r w:rsidRPr="00D07A2F">
        <w:rPr>
          <w:i/>
          <w:iCs/>
          <w:noProof/>
          <w:szCs w:val="24"/>
        </w:rPr>
        <w:t>Proceedings of the 2009 8th IEEE International Symposium on Mixed and Augmented Reality</w:t>
      </w:r>
      <w:r w:rsidRPr="00D07A2F">
        <w:rPr>
          <w:noProof/>
          <w:szCs w:val="24"/>
        </w:rPr>
        <w:t xml:space="preserve"> (pp. 153–162). Retrieved from http://citeseerx.ist.psu.edu/viewdoc/download?doi=10.1.1.156.6860&amp;rep=rep1&amp;type=pdf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Schell, J. (2015). VR and AR: 2016, 2020, 2025. Retrieved December 26, 2016, from https://www.youtube.com/watch?v=wD0bp0r-EpI</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Schmitz, B., Specht, M., &amp; Klemke, R. (2012). An Analysis of the Educational Potential of Augmented Reality Games for Learning. In M. Specht, J. Multisilta, &amp; M. Sharples (Eds.), </w:t>
      </w:r>
      <w:r w:rsidRPr="00D07A2F">
        <w:rPr>
          <w:i/>
          <w:iCs/>
          <w:noProof/>
          <w:szCs w:val="24"/>
        </w:rPr>
        <w:t>Proceedings of the 11th World Conference on Mobile and Contextual Learning 2012</w:t>
      </w:r>
      <w:r w:rsidRPr="00D07A2F">
        <w:rPr>
          <w:noProof/>
          <w:szCs w:val="24"/>
        </w:rPr>
        <w:t xml:space="preserve"> (pp. 140–147). Retrieved from http://dspace.ou.nl/handle/1820/4790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Sharma, P., Wild, F., Klemke, R., Helin, K., &amp; Azam, T. (2016). </w:t>
      </w:r>
      <w:r w:rsidRPr="00D07A2F">
        <w:rPr>
          <w:i/>
          <w:iCs/>
          <w:noProof/>
          <w:szCs w:val="24"/>
        </w:rPr>
        <w:t>D3.1 Requirement analysis and sensor specifications – First version</w:t>
      </w:r>
      <w:r w:rsidRPr="00D07A2F">
        <w:rPr>
          <w:noProof/>
          <w:szCs w:val="24"/>
        </w:rPr>
        <w:t>. (F. Wild &amp; P. Sharma, Eds.).</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Specht, M., Ternier, S., &amp; Greller, W. (2011). Dimensions of Mobile Augmented Reality for Learning: A First Inventory. </w:t>
      </w:r>
      <w:r w:rsidRPr="00D07A2F">
        <w:rPr>
          <w:i/>
          <w:iCs/>
          <w:noProof/>
          <w:szCs w:val="24"/>
        </w:rPr>
        <w:t>Journal of the Research Center for Educational Technology (RCET)</w:t>
      </w:r>
      <w:r w:rsidRPr="00D07A2F">
        <w:rPr>
          <w:noProof/>
          <w:szCs w:val="24"/>
        </w:rPr>
        <w:t xml:space="preserve">, </w:t>
      </w:r>
      <w:r w:rsidRPr="00D07A2F">
        <w:rPr>
          <w:i/>
          <w:iCs/>
          <w:noProof/>
          <w:szCs w:val="24"/>
        </w:rPr>
        <w:t>7</w:t>
      </w:r>
      <w:r w:rsidRPr="00D07A2F">
        <w:rPr>
          <w:noProof/>
          <w:szCs w:val="24"/>
        </w:rPr>
        <w:t>(1), 117–127. Retrieved from http://rcetj.org/index.php/rcetj/article/viewFile/151/241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Sutherland, I. E. (1968). A head-mounted three dimensional display. In </w:t>
      </w:r>
      <w:r w:rsidRPr="00D07A2F">
        <w:rPr>
          <w:i/>
          <w:iCs/>
          <w:noProof/>
          <w:szCs w:val="24"/>
        </w:rPr>
        <w:t>Proceedings of the December 9-11, 1968, fall joint computer conference, part I</w:t>
      </w:r>
      <w:r w:rsidRPr="00D07A2F">
        <w:rPr>
          <w:noProof/>
          <w:szCs w:val="24"/>
        </w:rPr>
        <w:t xml:space="preserve"> (pp. 757–764). https://doi.org/10.1145/1476589.1476686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lastRenderedPageBreak/>
        <w:t xml:space="preserve">Ternier, S., De Vries, F., Börner, D., &amp; Specht, M. (2012). Mobile augmented reality with audio, supporting fieldwork of Cultural Sciences students in Florence. In G. Eleftherakis, M. Hinchey, &amp; M. Holcombe (Eds.), </w:t>
      </w:r>
      <w:r w:rsidRPr="00D07A2F">
        <w:rPr>
          <w:i/>
          <w:iCs/>
          <w:noProof/>
          <w:szCs w:val="24"/>
        </w:rPr>
        <w:t>Software Engineering and Formal Methods - Proceedings of 10th International Conference, SEFM 2012</w:t>
      </w:r>
      <w:r w:rsidRPr="00D07A2F">
        <w:rPr>
          <w:noProof/>
          <w:szCs w:val="24"/>
        </w:rPr>
        <w:t xml:space="preserve"> (pp. 367–379). Springer. Retrieved from http://dspace.ou.nl/handle/1820/5034</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Ternier, S., Klemke, R., Kalz, M., van Ulzen, P., &amp; Specht, M. (2012). ARLearn: Augmented reality meets augmented virtuality. </w:t>
      </w:r>
      <w:r w:rsidRPr="00D07A2F">
        <w:rPr>
          <w:i/>
          <w:iCs/>
          <w:noProof/>
          <w:szCs w:val="24"/>
        </w:rPr>
        <w:t>Journal of Universal Computer Science</w:t>
      </w:r>
      <w:r w:rsidRPr="00D07A2F">
        <w:rPr>
          <w:noProof/>
          <w:szCs w:val="24"/>
        </w:rPr>
        <w:t xml:space="preserve">, </w:t>
      </w:r>
      <w:r w:rsidRPr="00D07A2F">
        <w:rPr>
          <w:i/>
          <w:iCs/>
          <w:noProof/>
          <w:szCs w:val="24"/>
        </w:rPr>
        <w:t>18</w:t>
      </w:r>
      <w:r w:rsidRPr="00D07A2F">
        <w:rPr>
          <w:noProof/>
          <w:szCs w:val="24"/>
        </w:rPr>
        <w:t>(15), 2143–2164. https://doi.org/10.3217/jucs-018-15-2143</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Wetzel, R. (2013). A Case for Design Patterns supporting the Development of Mobile Mixed Reality Games. </w:t>
      </w:r>
      <w:r w:rsidRPr="00D07A2F">
        <w:rPr>
          <w:i/>
          <w:iCs/>
          <w:noProof/>
          <w:szCs w:val="24"/>
        </w:rPr>
        <w:t>Foundations of Digital Games</w:t>
      </w:r>
      <w:r w:rsidRPr="00D07A2F">
        <w:rPr>
          <w:noProof/>
          <w:szCs w:val="24"/>
        </w:rPr>
        <w:t>. Retrieved from http://www.fdg2013.org/program/workshops/papers/DPG2013/b6-wetzel.pdf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Wetzel, R., Mccall, R., Braun, A.-K., &amp; Broll, W. (2008). Guidelines for Designing Augmented Reality Games. In </w:t>
      </w:r>
      <w:r w:rsidRPr="00D07A2F">
        <w:rPr>
          <w:i/>
          <w:iCs/>
          <w:noProof/>
          <w:szCs w:val="24"/>
        </w:rPr>
        <w:t>Proceedings of the 2008 Conference on Future Play: Research, Play, Share</w:t>
      </w:r>
      <w:r w:rsidRPr="00D07A2F">
        <w:rPr>
          <w:noProof/>
          <w:szCs w:val="24"/>
        </w:rPr>
        <w:t xml:space="preserve"> (pp. 173–180). Retrieved from http://eprints.lincoln.ac.uk/24599/1/Wetzel et al. - 2008 - Guidelines for designing augmented reality games.pdf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Xu, Z., Xiang, C., Wen-Hui, W., Ji-Hai, Y., Lantz, V., &amp; Kong-Qiao, W. (2009). Hand Gesture Recognition and Virtual Game Control Based on 3D Accelerometer and EMG Sensors. In </w:t>
      </w:r>
      <w:r w:rsidRPr="00D07A2F">
        <w:rPr>
          <w:i/>
          <w:iCs/>
          <w:noProof/>
          <w:szCs w:val="24"/>
        </w:rPr>
        <w:t>Proceedings of the 14th international conference on Intelligent user interfaces</w:t>
      </w:r>
      <w:r w:rsidRPr="00D07A2F">
        <w:rPr>
          <w:noProof/>
          <w:szCs w:val="24"/>
        </w:rPr>
        <w:t xml:space="preserve"> (pp. 401–406). ACM. Retrieved from https://pdfs.semanticscholar.org/6878/79899cb5c520970fd76eaca8b79e4aee820d.pdf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Yamabe, T., &amp; Nakajima, T. (2013). Playful training with augmented reality games: Case studies towards reality-oriented system design. </w:t>
      </w:r>
      <w:r w:rsidRPr="00D07A2F">
        <w:rPr>
          <w:i/>
          <w:iCs/>
          <w:noProof/>
          <w:szCs w:val="24"/>
        </w:rPr>
        <w:t>Multimedia Tools and Applications</w:t>
      </w:r>
      <w:r w:rsidRPr="00D07A2F">
        <w:rPr>
          <w:noProof/>
          <w:szCs w:val="24"/>
        </w:rPr>
        <w:t xml:space="preserve">, </w:t>
      </w:r>
      <w:r w:rsidRPr="00D07A2F">
        <w:rPr>
          <w:i/>
          <w:iCs/>
          <w:noProof/>
          <w:szCs w:val="24"/>
        </w:rPr>
        <w:t>62</w:t>
      </w:r>
      <w:r w:rsidRPr="00D07A2F">
        <w:rPr>
          <w:noProof/>
          <w:szCs w:val="24"/>
        </w:rPr>
        <w:t>(1), 259–286. https://doi.org/10.1007/s11042-011-0979-7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You, S., &amp; Neumann, U. (2001). </w:t>
      </w:r>
      <w:r w:rsidRPr="00D07A2F">
        <w:rPr>
          <w:i/>
          <w:iCs/>
          <w:noProof/>
          <w:szCs w:val="24"/>
        </w:rPr>
        <w:t>Fusion of Vision and Gyro Tracking for Robust Augmented Reality Registration</w:t>
      </w:r>
      <w:r w:rsidRPr="00D07A2F">
        <w:rPr>
          <w:noProof/>
          <w:szCs w:val="24"/>
        </w:rPr>
        <w:t>. Retrieved from https://trac.v2.nl/export/5432/andres/Documentation/INS Kalman/fusion of vision and gyro tracking for AR.pdf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Zagal, J. P., Mateas, M., Fernández-Vara, C., Hochhalter, B., &amp; Lichti, N. (2005). Towards an Ontological Language for Game Analysis. In </w:t>
      </w:r>
      <w:r w:rsidRPr="00D07A2F">
        <w:rPr>
          <w:i/>
          <w:iCs/>
          <w:noProof/>
          <w:szCs w:val="24"/>
        </w:rPr>
        <w:t>Proceedings of DiGRA 2005 Conference</w:t>
      </w:r>
      <w:r w:rsidRPr="00D07A2F">
        <w:rPr>
          <w:noProof/>
          <w:szCs w:val="24"/>
        </w:rPr>
        <w:t xml:space="preserve"> (pp. 3–14). Retrieved from https://users.soe.ucsc.edu/~michaelm/publications/zagal-worlds-in-play-2007.pdf</w:t>
      </w:r>
    </w:p>
    <w:p w:rsidR="00D07A2F" w:rsidRPr="00D07A2F" w:rsidRDefault="00D07A2F" w:rsidP="00D07A2F">
      <w:pPr>
        <w:widowControl w:val="0"/>
        <w:autoSpaceDE w:val="0"/>
        <w:autoSpaceDN w:val="0"/>
        <w:adjustRightInd w:val="0"/>
        <w:ind w:left="480" w:hanging="480"/>
        <w:rPr>
          <w:noProof/>
        </w:rPr>
      </w:pPr>
      <w:r w:rsidRPr="00D07A2F">
        <w:rPr>
          <w:noProof/>
          <w:szCs w:val="24"/>
        </w:rPr>
        <w:t xml:space="preserve">Zhang, Z. (2012). Microsoft Kinect Sensor and Its Effect. </w:t>
      </w:r>
      <w:r w:rsidRPr="00D07A2F">
        <w:rPr>
          <w:i/>
          <w:iCs/>
          <w:noProof/>
          <w:szCs w:val="24"/>
        </w:rPr>
        <w:t>IEEE Multimedia</w:t>
      </w:r>
      <w:r w:rsidRPr="00D07A2F">
        <w:rPr>
          <w:noProof/>
          <w:szCs w:val="24"/>
        </w:rPr>
        <w:t xml:space="preserve">, </w:t>
      </w:r>
      <w:r w:rsidRPr="00D07A2F">
        <w:rPr>
          <w:i/>
          <w:iCs/>
          <w:noProof/>
          <w:szCs w:val="24"/>
        </w:rPr>
        <w:t>19</w:t>
      </w:r>
      <w:r w:rsidRPr="00D07A2F">
        <w:rPr>
          <w:noProof/>
          <w:szCs w:val="24"/>
        </w:rPr>
        <w:t>(2), 4–10. Retrieved from https://www.researchgate.net/profile/Zhengyou_Zhang/publication/254058710_Microsoft_Kinect_Sensor_and_Its_Effect/links/00b7d53ab783285cdb000000.pdf</w:t>
      </w:r>
    </w:p>
    <w:p w:rsidR="00FE68DC" w:rsidRPr="00FE68DC" w:rsidRDefault="006B7192" w:rsidP="00D07A2F">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0" w:name="_Toc470602018"/>
      <w:proofErr w:type="spellStart"/>
      <w:r>
        <w:rPr>
          <w:color w:val="000000" w:themeColor="text1"/>
        </w:rPr>
        <w:lastRenderedPageBreak/>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0"/>
      <w:proofErr w:type="spellEnd"/>
    </w:p>
    <w:p w:rsidR="00CE140A" w:rsidRPr="00413F86" w:rsidRDefault="00B9740B" w:rsidP="00B9740B">
      <w:pPr>
        <w:pStyle w:val="berschrift1"/>
        <w:rPr>
          <w:lang w:val="en-US"/>
        </w:rPr>
      </w:pPr>
      <w:bookmarkStart w:id="41" w:name="_Toc470602019"/>
      <w:r>
        <w:rPr>
          <w:lang w:val="en-US"/>
        </w:rPr>
        <w:t>Appendix</w:t>
      </w:r>
      <w:bookmarkEnd w:id="41"/>
    </w:p>
    <w:sectPr w:rsidR="00CE140A" w:rsidRPr="00413F86">
      <w:headerReference w:type="even" r:id="rId14"/>
      <w:foot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505FFD" w:rsidRDefault="00505FFD">
      <w:pPr>
        <w:pStyle w:val="Kommentartext"/>
      </w:pPr>
      <w:r>
        <w:rPr>
          <w:rStyle w:val="Kommentarzeichen"/>
        </w:rPr>
        <w:annotationRef/>
      </w:r>
      <w:r>
        <w:t>Sinnvoller Abschnitt? In der Art sinnvoll?</w:t>
      </w:r>
    </w:p>
  </w:comment>
  <w:comment w:id="10" w:author="Felix" w:date="2016-12-26T13:48:00Z" w:initials="F">
    <w:p w:rsidR="00505FFD" w:rsidRDefault="00505FFD">
      <w:pPr>
        <w:pStyle w:val="Kommentartext"/>
      </w:pPr>
      <w:r>
        <w:rPr>
          <w:rStyle w:val="Kommentarzeichen"/>
        </w:rPr>
        <w:annotationRef/>
      </w:r>
      <w:r>
        <w:t>Anders zitieren?</w:t>
      </w:r>
    </w:p>
  </w:comment>
  <w:comment w:id="13" w:author="Felix" w:date="2016-12-26T17:45:00Z" w:initials="F">
    <w:p w:rsidR="00505FFD" w:rsidRPr="00730AC1" w:rsidRDefault="00505FFD"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5" w:author="Felix" w:date="2016-12-26T19:57:00Z" w:initials="F">
    <w:p w:rsidR="00505FFD" w:rsidRDefault="00505FFD">
      <w:pPr>
        <w:pStyle w:val="Kommentartext"/>
      </w:pPr>
      <w:r>
        <w:rPr>
          <w:rStyle w:val="Kommentarzeichen"/>
        </w:rPr>
        <w:annotationRef/>
      </w:r>
      <w:r>
        <w:t xml:space="preserve">Moderner Vergleich? </w:t>
      </w:r>
      <w:proofErr w:type="spellStart"/>
      <w:r>
        <w:t>Hololens</w:t>
      </w:r>
      <w:proofErr w:type="spellEnd"/>
      <w:r>
        <w:t xml:space="preserve"> speziell?</w:t>
      </w:r>
    </w:p>
  </w:comment>
  <w:comment w:id="19" w:author="Felix" w:date="2016-12-27T15:52:00Z" w:initials="F">
    <w:p w:rsidR="00505FFD" w:rsidRDefault="00505FFD">
      <w:pPr>
        <w:pStyle w:val="Kommentartext"/>
      </w:pPr>
      <w:r>
        <w:rPr>
          <w:rStyle w:val="Kommentarzeichen"/>
        </w:rPr>
        <w:annotationRef/>
      </w:r>
      <w:r>
        <w:t>Bereich nennt momentan keine direkten Beispiele für Anwendungen – sinnvoll?</w:t>
      </w:r>
    </w:p>
    <w:p w:rsidR="00505FFD" w:rsidRDefault="00505FFD">
      <w:pPr>
        <w:pStyle w:val="Kommentartext"/>
      </w:pPr>
      <w:r>
        <w:t>Beispiele sind jetzt rausgestrichen, aber bei Bedarf noch in alten Versionen vorhanden.</w:t>
      </w:r>
    </w:p>
  </w:comment>
  <w:comment w:id="21" w:author="Felix" w:date="2016-12-27T16:46:00Z" w:initials="F">
    <w:p w:rsidR="00505FFD" w:rsidRDefault="00505FFD">
      <w:pPr>
        <w:pStyle w:val="Kommentartext"/>
      </w:pPr>
      <w:r>
        <w:rPr>
          <w:rStyle w:val="Kommentarzeichen"/>
        </w:rPr>
        <w:annotationRef/>
      </w:r>
      <w:r>
        <w:t>Zitieren?</w:t>
      </w:r>
    </w:p>
  </w:comment>
  <w:comment w:id="22" w:author="Felix" w:date="2016-12-27T17:03:00Z" w:initials="F">
    <w:p w:rsidR="00505FFD" w:rsidRDefault="00505FFD">
      <w:pPr>
        <w:pStyle w:val="Kommentartext"/>
      </w:pPr>
      <w:r>
        <w:rPr>
          <w:rStyle w:val="Kommentarzeichen"/>
        </w:rPr>
        <w:annotationRef/>
      </w:r>
      <w:r>
        <w:t>Nicht sicher, wie gut Wetzel als Quelle dafür ist</w:t>
      </w:r>
    </w:p>
  </w:comment>
  <w:comment w:id="23" w:author="Felix" w:date="2016-12-27T18:57:00Z" w:initials="F">
    <w:p w:rsidR="00505FFD" w:rsidRDefault="00505FFD">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4" w:author="Felix" w:date="2016-12-27T19:16:00Z" w:initials="F">
    <w:p w:rsidR="00505FFD" w:rsidRDefault="00505FFD">
      <w:pPr>
        <w:pStyle w:val="Kommentartext"/>
      </w:pPr>
      <w:r>
        <w:rPr>
          <w:rStyle w:val="Kommentarzeichen"/>
        </w:rPr>
        <w:annotationRef/>
      </w:r>
      <w:r>
        <w:t>Zitierweise?</w:t>
      </w:r>
    </w:p>
  </w:comment>
  <w:comment w:id="25" w:author="Felix" w:date="2016-12-27T19:34:00Z" w:initials="F">
    <w:p w:rsidR="00505FFD" w:rsidRDefault="00505FFD">
      <w:pPr>
        <w:pStyle w:val="Kommentartext"/>
      </w:pPr>
      <w:r>
        <w:rPr>
          <w:rStyle w:val="Kommentarzeichen"/>
        </w:rPr>
        <w:annotationRef/>
      </w:r>
      <w:r>
        <w:t>Bereich sollte wohl deutlich mehr Beispiele + andere Ansätze 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5A2" w:rsidRDefault="00BF75A2">
      <w:r>
        <w:separator/>
      </w:r>
    </w:p>
  </w:endnote>
  <w:endnote w:type="continuationSeparator" w:id="0">
    <w:p w:rsidR="00BF75A2" w:rsidRDefault="00BF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F51235" w:rsidRPr="00F51235" w:rsidRDefault="00F51235">
        <w:pPr>
          <w:pStyle w:val="Fuzeile"/>
          <w:jc w:val="center"/>
        </w:pPr>
        <w:r w:rsidRPr="00F51235">
          <w:fldChar w:fldCharType="begin"/>
        </w:r>
        <w:r w:rsidRPr="00F51235">
          <w:instrText>PAGE   \* MERGEFORMAT</w:instrText>
        </w:r>
        <w:r w:rsidRPr="00F51235">
          <w:fldChar w:fldCharType="separate"/>
        </w:r>
        <w:r>
          <w:rPr>
            <w:noProof/>
          </w:rPr>
          <w:t>2</w:t>
        </w:r>
        <w:r w:rsidRPr="00F51235">
          <w:fldChar w:fldCharType="end"/>
        </w:r>
      </w:p>
    </w:sdtContent>
  </w:sdt>
  <w:p w:rsidR="00F51235" w:rsidRDefault="00F5123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5A2" w:rsidRDefault="00BF75A2">
      <w:r>
        <w:separator/>
      </w:r>
    </w:p>
  </w:footnote>
  <w:footnote w:type="continuationSeparator" w:id="0">
    <w:p w:rsidR="00BF75A2" w:rsidRDefault="00BF7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FD" w:rsidRDefault="00505FF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05FFD" w:rsidRDefault="00505FF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3520"/>
    <w:rsid w:val="00017D29"/>
    <w:rsid w:val="00027616"/>
    <w:rsid w:val="00027FDF"/>
    <w:rsid w:val="000300B9"/>
    <w:rsid w:val="000341F8"/>
    <w:rsid w:val="000342D3"/>
    <w:rsid w:val="00035563"/>
    <w:rsid w:val="00035707"/>
    <w:rsid w:val="000371F7"/>
    <w:rsid w:val="00042647"/>
    <w:rsid w:val="00042837"/>
    <w:rsid w:val="00042A60"/>
    <w:rsid w:val="00046233"/>
    <w:rsid w:val="00047D87"/>
    <w:rsid w:val="000509AF"/>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6C54"/>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AFD"/>
    <w:rsid w:val="00181980"/>
    <w:rsid w:val="00190344"/>
    <w:rsid w:val="0019049B"/>
    <w:rsid w:val="0019360B"/>
    <w:rsid w:val="00195BB1"/>
    <w:rsid w:val="00197CBA"/>
    <w:rsid w:val="00197F70"/>
    <w:rsid w:val="001A2A8D"/>
    <w:rsid w:val="001A5FE9"/>
    <w:rsid w:val="001A693B"/>
    <w:rsid w:val="001A7CC9"/>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08D4"/>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2D0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50A"/>
    <w:rsid w:val="00980AD9"/>
    <w:rsid w:val="00980FD5"/>
    <w:rsid w:val="00985C09"/>
    <w:rsid w:val="009874D2"/>
    <w:rsid w:val="009902FC"/>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488F"/>
    <w:rsid w:val="00A65EAC"/>
    <w:rsid w:val="00A67E64"/>
    <w:rsid w:val="00A70BA9"/>
    <w:rsid w:val="00A7196D"/>
    <w:rsid w:val="00A71B56"/>
    <w:rsid w:val="00A74089"/>
    <w:rsid w:val="00A82108"/>
    <w:rsid w:val="00A82DA1"/>
    <w:rsid w:val="00A82E0B"/>
    <w:rsid w:val="00A848B8"/>
    <w:rsid w:val="00A85AD2"/>
    <w:rsid w:val="00A86050"/>
    <w:rsid w:val="00A8764B"/>
    <w:rsid w:val="00A87C36"/>
    <w:rsid w:val="00A87E73"/>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772D"/>
    <w:rsid w:val="00C10FB8"/>
    <w:rsid w:val="00C11F06"/>
    <w:rsid w:val="00C14166"/>
    <w:rsid w:val="00C1475A"/>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0EB4"/>
    <w:rsid w:val="00CA1817"/>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3830"/>
    <w:rsid w:val="00E1512B"/>
    <w:rsid w:val="00E2010B"/>
    <w:rsid w:val="00E238D9"/>
    <w:rsid w:val="00E2563B"/>
    <w:rsid w:val="00E2583E"/>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24B"/>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5058"/>
    <w:rsid w:val="00FB6BA8"/>
    <w:rsid w:val="00FC007A"/>
    <w:rsid w:val="00FC0E0E"/>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6044F-C8ED-4430-A20D-58552231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61085</Words>
  <Characters>384837</Characters>
  <Application>Microsoft Office Word</Application>
  <DocSecurity>0</DocSecurity>
  <Lines>3206</Lines>
  <Paragraphs>890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314</cp:revision>
  <cp:lastPrinted>2016-02-29T00:36:00Z</cp:lastPrinted>
  <dcterms:created xsi:type="dcterms:W3CDTF">2015-12-16T20:53:00Z</dcterms:created>
  <dcterms:modified xsi:type="dcterms:W3CDTF">2016-12-28T13:16:00Z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