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5236BC">
      <w:pPr>
        <w:rPr>
          <w:lang w:val="en-US"/>
        </w:rPr>
      </w:pPr>
      <w:r w:rsidRPr="00683735">
        <w:rPr>
          <w:lang w:val="en-US"/>
        </w:rPr>
        <w:t>M</w:t>
      </w:r>
      <w:r>
        <w:rPr>
          <w:lang w:val="en-US"/>
        </w:rPr>
        <w:t>ethod for creating new patterns (Alexander):</w:t>
      </w:r>
    </w:p>
    <w:p w:rsidR="005236BC" w:rsidRPr="00F3545F" w:rsidRDefault="005236BC" w:rsidP="005236BC">
      <w:pPr>
        <w:pStyle w:val="StandardErstzeileneinzug"/>
        <w:numPr>
          <w:ilvl w:val="0"/>
          <w:numId w:val="2"/>
        </w:numPr>
      </w:pPr>
      <w:r w:rsidRPr="00F3545F">
        <w:t>Notice a situation “where one feels good.”</w:t>
      </w:r>
    </w:p>
    <w:p w:rsidR="005236BC" w:rsidRPr="00F3545F" w:rsidRDefault="005236BC" w:rsidP="005236BC">
      <w:pPr>
        <w:pStyle w:val="StandardErstzeileneinzug"/>
        <w:numPr>
          <w:ilvl w:val="0"/>
          <w:numId w:val="2"/>
        </w:numPr>
      </w:pPr>
      <w:r w:rsidRPr="00F3545F">
        <w:t>Identify the cause.</w:t>
      </w:r>
    </w:p>
    <w:p w:rsidR="005236BC" w:rsidRPr="00F3545F" w:rsidRDefault="005236BC" w:rsidP="005236BC">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5236BC">
      <w:pPr>
        <w:pStyle w:val="StandardErstzeileneinzug"/>
        <w:numPr>
          <w:ilvl w:val="0"/>
          <w:numId w:val="2"/>
        </w:numPr>
      </w:pPr>
      <w:r w:rsidRPr="00F3545F">
        <w:t>Identify “the conflicting Forces it resolves.”</w:t>
      </w:r>
    </w:p>
    <w:p w:rsidR="005236BC" w:rsidRPr="00F3545F" w:rsidRDefault="005236BC" w:rsidP="005236BC">
      <w:pPr>
        <w:pStyle w:val="StandardErstzeileneinzug"/>
        <w:numPr>
          <w:ilvl w:val="0"/>
          <w:numId w:val="2"/>
        </w:numPr>
      </w:pPr>
      <w:r w:rsidRPr="00F3545F">
        <w:t>Identify relevant contexts</w:t>
      </w:r>
    </w:p>
    <w:p w:rsidR="005236BC" w:rsidRPr="005236BC" w:rsidRDefault="005236BC" w:rsidP="00683735">
      <w:pPr>
        <w:pStyle w:val="StandardErstzeileneinzug"/>
        <w:numPr>
          <w:ilvl w:val="0"/>
          <w:numId w:val="2"/>
        </w:numPr>
      </w:pPr>
      <w:r w:rsidRPr="00F3545F">
        <w:t>Empirical tests (of the reactions presence and absence of the feature causes)</w:t>
      </w:r>
    </w:p>
    <w:p w:rsidR="00AC1B9A" w:rsidRDefault="00C70605" w:rsidP="00683735">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lastRenderedPageBreak/>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lastRenderedPageBreak/>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5236BC" w:rsidRDefault="00CC7D23">
      <w:pPr>
        <w:rPr>
          <w:b/>
          <w:sz w:val="28"/>
          <w:szCs w:val="28"/>
        </w:rPr>
      </w:pPr>
      <w:r w:rsidRPr="00AC1B9A">
        <w:rPr>
          <w:b/>
          <w:sz w:val="28"/>
          <w:szCs w:val="28"/>
          <w:lang w:val="en-US"/>
        </w:rPr>
        <w:t xml:space="preserve">3. </w:t>
      </w:r>
      <w:r w:rsidR="00C150BC" w:rsidRPr="00AC1B9A">
        <w:rPr>
          <w:b/>
          <w:sz w:val="28"/>
          <w:szCs w:val="28"/>
          <w:lang w:val="en-US"/>
        </w:rPr>
        <w:t xml:space="preserve">Sharma et al. </w:t>
      </w:r>
      <w:r w:rsidR="00C150BC" w:rsidRPr="005236BC">
        <w:rPr>
          <w:b/>
          <w:sz w:val="28"/>
          <w:szCs w:val="28"/>
        </w:rPr>
        <w:t>(2016):</w:t>
      </w:r>
    </w:p>
    <w:p w:rsidR="005236BC" w:rsidRPr="005236BC" w:rsidRDefault="005236BC" w:rsidP="005236BC">
      <w:pPr>
        <w:pStyle w:val="StandardErstzeileneinzug"/>
        <w:ind w:firstLine="0"/>
        <w:rPr>
          <w:b/>
        </w:rPr>
      </w:pPr>
      <w:r w:rsidRPr="005236BC">
        <w:rPr>
          <w:b/>
        </w:rPr>
        <w:t>3.1 In der BA</w:t>
      </w:r>
    </w:p>
    <w:p w:rsidR="005236BC" w:rsidRDefault="005236BC" w:rsidP="005236BC">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w:t>
      </w:r>
      <w:r w:rsidRPr="00F3545F">
        <w:lastRenderedPageBreak/>
        <w:t>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5236BC">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bookmarkStart w:id="0" w:name="_GoBack"/>
      <w:bookmarkEnd w:id="0"/>
      <w:proofErr w:type="spellEnd"/>
    </w:p>
    <w:p w:rsidR="005236BC" w:rsidRPr="00F3545F" w:rsidRDefault="005236BC" w:rsidP="005236BC">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5236BC">
      <w:pPr>
        <w:pStyle w:val="StandardErstzeileneinzug"/>
        <w:ind w:firstLine="0"/>
        <w:rPr>
          <w:b/>
        </w:rPr>
      </w:pPr>
    </w:p>
    <w:p w:rsidR="005236BC" w:rsidRDefault="00460F99" w:rsidP="005236BC">
      <w:pPr>
        <w:pStyle w:val="StandardErstzeileneinzug"/>
        <w:ind w:firstLine="0"/>
        <w:rPr>
          <w:i/>
        </w:rPr>
      </w:pPr>
      <w:proofErr w:type="spellStart"/>
      <w:r w:rsidRPr="00460F99">
        <w:rPr>
          <w:i/>
        </w:rPr>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5236BC">
      <w:pPr>
        <w:pStyle w:val="StandardErstzeileneinzug"/>
        <w:ind w:firstLine="0"/>
        <w:rPr>
          <w:i/>
        </w:rPr>
      </w:pPr>
    </w:p>
    <w:p w:rsidR="00FF7E17" w:rsidRPr="00FF7E17" w:rsidRDefault="00FF7E17" w:rsidP="00FF7E1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p>
    <w:p w:rsidR="00FF7E17" w:rsidRPr="00FF7E17" w:rsidRDefault="00FF7E17" w:rsidP="005236BC">
      <w:pPr>
        <w:pStyle w:val="StandardErstzeileneinzug"/>
        <w:ind w:firstLine="0"/>
      </w:pPr>
      <w:r>
        <w:t>”</w:t>
      </w:r>
    </w:p>
    <w:p w:rsidR="00460F99" w:rsidRPr="00460F99" w:rsidRDefault="00460F99" w:rsidP="005236BC">
      <w:pPr>
        <w:pStyle w:val="StandardErstzeileneinzug"/>
        <w:ind w:firstLine="0"/>
        <w:rPr>
          <w:b/>
        </w:rPr>
      </w:pPr>
    </w:p>
    <w:p w:rsidR="005236BC" w:rsidRPr="00F3545F" w:rsidRDefault="005236BC" w:rsidP="005236BC">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5236BC">
      <w:pPr>
        <w:pStyle w:val="StandardErstzeileneinzug"/>
        <w:numPr>
          <w:ilvl w:val="1"/>
          <w:numId w:val="9"/>
        </w:numPr>
      </w:pPr>
      <w:r w:rsidRPr="00F3545F">
        <w:t>Compatibility and support of Unity development engine across different hardware sensors</w:t>
      </w:r>
    </w:p>
    <w:p w:rsidR="005236BC" w:rsidRPr="00F3545F" w:rsidRDefault="005236BC" w:rsidP="005236BC">
      <w:pPr>
        <w:pStyle w:val="StandardErstzeileneinzug"/>
        <w:numPr>
          <w:ilvl w:val="1"/>
          <w:numId w:val="9"/>
        </w:numPr>
      </w:pPr>
      <w:r w:rsidRPr="00F3545F">
        <w:t>Support of sensors across different operating systems and programming platforms</w:t>
      </w:r>
    </w:p>
    <w:p w:rsidR="005236BC" w:rsidRPr="00F3545F" w:rsidRDefault="005236BC" w:rsidP="005236BC">
      <w:pPr>
        <w:pStyle w:val="StandardErstzeileneinzug"/>
        <w:numPr>
          <w:ilvl w:val="1"/>
          <w:numId w:val="9"/>
        </w:numPr>
      </w:pPr>
      <w:r w:rsidRPr="00F3545F">
        <w:lastRenderedPageBreak/>
        <w:t>Compatibility of the different hardware drivers associated with the sensors.</w:t>
      </w:r>
    </w:p>
    <w:p w:rsidR="005236BC" w:rsidRPr="00F3545F" w:rsidRDefault="005236BC" w:rsidP="005236BC">
      <w:pPr>
        <w:pStyle w:val="StandardErstzeileneinzug"/>
        <w:numPr>
          <w:ilvl w:val="1"/>
          <w:numId w:val="9"/>
        </w:numPr>
      </w:pPr>
      <w:r w:rsidRPr="00F3545F">
        <w:t>Interference due to, e.g., noise generated by sensors.</w:t>
      </w:r>
    </w:p>
    <w:p w:rsidR="005236BC" w:rsidRPr="00F3545F" w:rsidRDefault="005236BC" w:rsidP="005236BC">
      <w:pPr>
        <w:pStyle w:val="StandardErstzeileneinzug"/>
        <w:numPr>
          <w:ilvl w:val="1"/>
          <w:numId w:val="9"/>
        </w:numPr>
      </w:pPr>
      <w:r w:rsidRPr="00F3545F">
        <w:t>Local and efficient storage of raw and processed data of the various sensors.</w:t>
      </w:r>
    </w:p>
    <w:p w:rsidR="005236BC" w:rsidRPr="00F3545F" w:rsidRDefault="005236BC" w:rsidP="005236BC">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5236BC">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5236BC">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5236BC">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Optical tracking using depth scanner, Smart armband sensing muscle </w:t>
            </w:r>
            <w:r w:rsidRPr="003E000E">
              <w:rPr>
                <w:rFonts w:ascii="Cambria" w:hAnsi="Cambria"/>
                <w:sz w:val="20"/>
                <w:szCs w:val="20"/>
                <w:lang w:val="en-US"/>
              </w:rPr>
              <w:lastRenderedPageBreak/>
              <w:t>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lastRenderedPageBreak/>
              <w:t>Myo</w:t>
            </w:r>
            <w:proofErr w:type="spellEnd"/>
            <w:r w:rsidRPr="003E000E">
              <w:rPr>
                <w:rFonts w:ascii="Cambria" w:hAnsi="Cambria"/>
                <w:sz w:val="20"/>
                <w:szCs w:val="20"/>
                <w:lang w:val="en-US"/>
              </w:rPr>
              <w:t xml:space="preserve"> Gesture control armband, Leap Motion </w:t>
            </w:r>
            <w:r w:rsidRPr="003E000E">
              <w:rPr>
                <w:rFonts w:ascii="Cambria" w:hAnsi="Cambria"/>
                <w:sz w:val="20"/>
                <w:szCs w:val="20"/>
                <w:lang w:val="en-US"/>
              </w:rPr>
              <w:lastRenderedPageBreak/>
              <w:t>controller</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lastRenderedPageBreak/>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pPr>
              <w:spacing w:after="0"/>
              <w:ind w:left="60"/>
              <w:rPr>
                <w:rFonts w:ascii="Cambria" w:hAnsi="Cambria"/>
                <w:lang w:val="en-US"/>
              </w:rPr>
            </w:pPr>
          </w:p>
          <w:p w:rsidR="003E000E" w:rsidRPr="003E000E" w:rsidRDefault="003E000E">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Hand movement tracker, 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lastRenderedPageBreak/>
              <w:t>Mindwave</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Emotiv EEG</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GSR has best references and more published 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proofErr w:type="spellStart"/>
            <w:r w:rsidRPr="003E000E">
              <w:rPr>
                <w:rFonts w:ascii="Cambria" w:hAnsi="Cambria"/>
                <w:sz w:val="20"/>
                <w:szCs w:val="20"/>
                <w:lang w:val="en-US"/>
              </w:rPr>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as used by BBMV</w:t>
            </w:r>
          </w:p>
          <w:p w:rsidR="003E000E" w:rsidRPr="003E000E" w:rsidRDefault="003E000E">
            <w:pPr>
              <w:spacing w:after="0"/>
              <w:ind w:left="60"/>
              <w:rPr>
                <w:rFonts w:ascii="Cambria" w:hAnsi="Cambria"/>
                <w:lang w:val="en-US"/>
              </w:rPr>
            </w:pPr>
          </w:p>
          <w:p w:rsidR="003E000E" w:rsidRDefault="003E000E">
            <w:pPr>
              <w:spacing w:after="0"/>
              <w:ind w:left="60"/>
              <w:rPr>
                <w:rFonts w:ascii="Cambria" w:hAnsi="Cambria"/>
                <w:color w:val="000000"/>
                <w:lang w:val="nb-NO" w:eastAsia="nb-NO"/>
              </w:rPr>
            </w:pPr>
            <w:r>
              <w:rPr>
                <w:rFonts w:ascii="Cambria" w:hAnsi="Cambria"/>
                <w:sz w:val="20"/>
                <w:szCs w:val="20"/>
              </w:rPr>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lastRenderedPageBreak/>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pPr>
        <w:rPr>
          <w:lang w:val="en-US"/>
        </w:rPr>
      </w:pPr>
    </w:p>
    <w:p w:rsidR="003E000E" w:rsidRPr="005236BC" w:rsidRDefault="003E000E">
      <w:pPr>
        <w:rPr>
          <w:lang w:val="en-US"/>
        </w:rPr>
      </w:pPr>
    </w:p>
    <w:p w:rsidR="00C150BC" w:rsidRPr="005236BC" w:rsidRDefault="00CC7D23">
      <w:pPr>
        <w:rPr>
          <w:b/>
          <w:sz w:val="28"/>
          <w:szCs w:val="28"/>
        </w:rPr>
      </w:pPr>
      <w:r w:rsidRPr="005236BC">
        <w:rPr>
          <w:b/>
          <w:sz w:val="28"/>
          <w:szCs w:val="28"/>
        </w:rPr>
        <w:t xml:space="preserve">4. </w:t>
      </w:r>
      <w:r w:rsidR="00C150BC" w:rsidRPr="005236BC">
        <w:rPr>
          <w:b/>
          <w:sz w:val="28"/>
          <w:szCs w:val="28"/>
        </w:rPr>
        <w:t>Wetzel:</w:t>
      </w:r>
    </w:p>
    <w:p w:rsidR="00C150BC" w:rsidRPr="005236BC" w:rsidRDefault="00C150BC"/>
    <w:p w:rsidR="00C150BC" w:rsidRPr="005236BC" w:rsidRDefault="00CC7D23">
      <w:pPr>
        <w:rPr>
          <w:b/>
          <w:sz w:val="28"/>
          <w:szCs w:val="28"/>
        </w:rPr>
      </w:pPr>
      <w:r w:rsidRPr="005236BC">
        <w:rPr>
          <w:b/>
          <w:sz w:val="28"/>
          <w:szCs w:val="28"/>
        </w:rPr>
        <w:t xml:space="preserve">5. </w:t>
      </w:r>
      <w:proofErr w:type="spellStart"/>
      <w:r w:rsidR="00C150BC" w:rsidRPr="005236BC">
        <w:rPr>
          <w:b/>
          <w:sz w:val="28"/>
          <w:szCs w:val="28"/>
        </w:rPr>
        <w:t>Antonaci</w:t>
      </w:r>
      <w:proofErr w:type="spellEnd"/>
      <w:r w:rsidR="00C150BC" w:rsidRPr="005236BC">
        <w:rPr>
          <w:b/>
          <w:sz w:val="28"/>
          <w:szCs w:val="28"/>
        </w:rPr>
        <w:t>:</w:t>
      </w:r>
    </w:p>
    <w:p w:rsidR="00C150BC" w:rsidRPr="005236BC" w:rsidRDefault="00C150BC"/>
    <w:p w:rsidR="00C150BC" w:rsidRPr="005236BC" w:rsidRDefault="00CC7D23">
      <w:pPr>
        <w:rPr>
          <w:b/>
          <w:sz w:val="28"/>
          <w:szCs w:val="28"/>
        </w:rPr>
      </w:pPr>
      <w:r w:rsidRPr="005236BC">
        <w:rPr>
          <w:b/>
          <w:sz w:val="28"/>
          <w:szCs w:val="28"/>
        </w:rPr>
        <w:t xml:space="preserve">6. </w:t>
      </w:r>
      <w:r w:rsidR="00C150BC" w:rsidRPr="005236BC">
        <w:rPr>
          <w:b/>
          <w:sz w:val="28"/>
          <w:szCs w:val="28"/>
        </w:rPr>
        <w:t>Schmitz:</w:t>
      </w:r>
    </w:p>
    <w:p w:rsidR="00C150BC" w:rsidRPr="005236BC" w:rsidRDefault="00C150BC"/>
    <w:p w:rsidR="00C150BC" w:rsidRPr="00CE1CB5" w:rsidRDefault="00CC7D23">
      <w:pPr>
        <w:rPr>
          <w:b/>
          <w:sz w:val="28"/>
          <w:szCs w:val="28"/>
        </w:rPr>
      </w:pPr>
      <w:r w:rsidRPr="00CE1CB5">
        <w:rPr>
          <w:b/>
          <w:sz w:val="28"/>
          <w:szCs w:val="28"/>
        </w:rPr>
        <w:t xml:space="preserve">7. </w:t>
      </w:r>
      <w:r w:rsidR="00C150BC" w:rsidRPr="00CE1CB5">
        <w:rPr>
          <w:b/>
          <w:sz w:val="28"/>
          <w:szCs w:val="28"/>
        </w:rPr>
        <w:t>Andere?:</w:t>
      </w:r>
    </w:p>
    <w:p w:rsidR="00C150BC" w:rsidRPr="00CE1CB5" w:rsidRDefault="00C150BC">
      <w:pPr>
        <w:pBdr>
          <w:bottom w:val="single" w:sz="6" w:space="1" w:color="auto"/>
        </w:pBdr>
      </w:pPr>
    </w:p>
    <w:p w:rsidR="00C70605" w:rsidRDefault="00C70605">
      <w:r w:rsidRPr="00CE1CB5">
        <w:t>Anderes außer Patterns: Def</w:t>
      </w:r>
      <w:r>
        <w:t>inition von AR, Evtl. Anwendungen als Grundlagen für Patterns, …</w:t>
      </w:r>
    </w:p>
    <w:p w:rsidR="00CE1CB5" w:rsidRDefault="00CE1CB5"/>
    <w:p w:rsidR="00CE1CB5" w:rsidRDefault="00CE1CB5"/>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w:t>
      </w:r>
      <w:r>
        <w:rPr>
          <w:rFonts w:ascii="Helvetica" w:hAnsi="Helvetica" w:cs="Helvetica"/>
          <w:color w:val="1D2129"/>
          <w:sz w:val="20"/>
          <w:szCs w:val="20"/>
          <w:shd w:val="clear" w:color="auto" w:fill="FFFFFF"/>
        </w:rPr>
        <w:lastRenderedPageBreak/>
        <w:t xml:space="preserve">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172ACB"/>
    <w:multiLevelType w:val="hybridMultilevel"/>
    <w:tmpl w:val="AC467EBA"/>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B16"/>
    <w:rsid w:val="004F56DE"/>
    <w:rsid w:val="004F6D54"/>
    <w:rsid w:val="0050722C"/>
    <w:rsid w:val="005073F6"/>
    <w:rsid w:val="005157EF"/>
    <w:rsid w:val="005236BC"/>
    <w:rsid w:val="00524596"/>
    <w:rsid w:val="0052606E"/>
    <w:rsid w:val="00527678"/>
    <w:rsid w:val="005306AA"/>
    <w:rsid w:val="0053076C"/>
    <w:rsid w:val="00530F0F"/>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6C0B"/>
    <w:rsid w:val="00747E90"/>
    <w:rsid w:val="00752F3A"/>
    <w:rsid w:val="00754A44"/>
    <w:rsid w:val="00766ED3"/>
    <w:rsid w:val="00767502"/>
    <w:rsid w:val="007714BB"/>
    <w:rsid w:val="00773721"/>
    <w:rsid w:val="00773B9F"/>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4243C"/>
    <w:rsid w:val="00C45715"/>
    <w:rsid w:val="00C46EB1"/>
    <w:rsid w:val="00C5199D"/>
    <w:rsid w:val="00C61644"/>
    <w:rsid w:val="00C62794"/>
    <w:rsid w:val="00C6423F"/>
    <w:rsid w:val="00C648B5"/>
    <w:rsid w:val="00C70605"/>
    <w:rsid w:val="00C71E64"/>
    <w:rsid w:val="00C75A53"/>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34AA"/>
    <w:rsid w:val="00CC7D23"/>
    <w:rsid w:val="00CD05EA"/>
    <w:rsid w:val="00CD7B3F"/>
    <w:rsid w:val="00CD7FFB"/>
    <w:rsid w:val="00CE1CB5"/>
    <w:rsid w:val="00CE51E0"/>
    <w:rsid w:val="00CE575E"/>
    <w:rsid w:val="00CF368B"/>
    <w:rsid w:val="00CF6370"/>
    <w:rsid w:val="00CF696F"/>
    <w:rsid w:val="00D01257"/>
    <w:rsid w:val="00D33B3C"/>
    <w:rsid w:val="00D35F52"/>
    <w:rsid w:val="00D42889"/>
    <w:rsid w:val="00D435CA"/>
    <w:rsid w:val="00D46048"/>
    <w:rsid w:val="00D51219"/>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90B92"/>
    <w:rsid w:val="00E9457C"/>
    <w:rsid w:val="00E946FB"/>
    <w:rsid w:val="00E95B59"/>
    <w:rsid w:val="00EA143A"/>
    <w:rsid w:val="00EA6FA3"/>
    <w:rsid w:val="00EC0AAB"/>
    <w:rsid w:val="00ED4CB3"/>
    <w:rsid w:val="00ED7360"/>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2547</Words>
  <Characters>16048</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12</cp:revision>
  <dcterms:created xsi:type="dcterms:W3CDTF">2017-01-03T10:25:00Z</dcterms:created>
  <dcterms:modified xsi:type="dcterms:W3CDTF">2017-01-03T18:25:00Z</dcterms:modified>
</cp:coreProperties>
</file>