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lastRenderedPageBreak/>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EE2DBC"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E211C7" w:rsidRDefault="00E211C7" w:rsidP="00E211C7">
      <w:pPr>
        <w:rPr>
          <w:lang w:val="en-US"/>
        </w:rPr>
      </w:pPr>
      <w:proofErr w:type="spellStart"/>
      <w:r>
        <w:rPr>
          <w:lang w:val="en-US"/>
        </w:rPr>
        <w:t>Legales</w:t>
      </w:r>
      <w:proofErr w:type="spellEnd"/>
      <w:r>
        <w:rPr>
          <w:lang w:val="en-US"/>
        </w:rPr>
        <w:t xml:space="preserve"> </w:t>
      </w:r>
      <w:proofErr w:type="spellStart"/>
      <w:r>
        <w:rPr>
          <w:lang w:val="en-US"/>
        </w:rPr>
        <w:t>Zeug</w:t>
      </w:r>
      <w:proofErr w:type="spellEnd"/>
      <w:r>
        <w:rPr>
          <w:lang w:val="en-US"/>
        </w:rPr>
        <w:t xml:space="preserve"> (</w:t>
      </w:r>
      <w:proofErr w:type="spellStart"/>
      <w:r>
        <w:rPr>
          <w:lang w:val="en-US"/>
        </w:rPr>
        <w:t>Calo</w:t>
      </w:r>
      <w:proofErr w:type="spellEnd"/>
      <w:r>
        <w:rPr>
          <w:lang w:val="en-US"/>
        </w:rPr>
        <w:t xml:space="preserve">) </w:t>
      </w:r>
      <w:proofErr w:type="spellStart"/>
      <w:r>
        <w:rPr>
          <w:lang w:val="en-US"/>
        </w:rPr>
        <w:t>gekonnt</w:t>
      </w:r>
      <w:proofErr w:type="spellEnd"/>
      <w:r>
        <w:rPr>
          <w:lang w:val="en-US"/>
        </w:rPr>
        <w:t xml:space="preserve"> </w:t>
      </w:r>
      <w:proofErr w:type="spellStart"/>
      <w:r>
        <w:rPr>
          <w:lang w:val="en-US"/>
        </w:rPr>
        <w:t>ignoriert</w:t>
      </w:r>
      <w:bookmarkStart w:id="2" w:name="_GoBack"/>
      <w:bookmarkEnd w:id="2"/>
      <w:proofErr w:type="spellEnd"/>
    </w:p>
    <w:p w:rsidR="00E211C7" w:rsidRPr="00E211C7" w:rsidRDefault="00E211C7" w:rsidP="00E211C7">
      <w:pPr>
        <w:rPr>
          <w:lang w:val="en-US"/>
        </w:rPr>
      </w:pPr>
    </w:p>
    <w:p w:rsidR="00E211C7" w:rsidRPr="00E211C7" w:rsidRDefault="00E211C7" w:rsidP="00E211C7">
      <w:pPr>
        <w:rPr>
          <w:lang w:val="en-US"/>
        </w:rPr>
      </w:pPr>
    </w:p>
    <w:p w:rsidR="00CE1CB5" w:rsidRDefault="004D6658" w:rsidP="00E211C7">
      <w:pPr>
        <w:rPr>
          <w:rFonts w:ascii="Helvetica" w:hAnsi="Helvetica" w:cs="Helvetica"/>
          <w:color w:val="1D2129"/>
          <w:sz w:val="20"/>
          <w:szCs w:val="20"/>
          <w:shd w:val="clear" w:color="auto" w:fill="FFFFFF"/>
        </w:rPr>
      </w:pPr>
      <w:r>
        <w:t xml:space="preserve">Betonen, dass Framework auf Games ausgelegt ist, aber (teilweise) auch in den anderen Gebieten verwendet werden </w:t>
      </w:r>
      <w:proofErr w:type="spellStart"/>
      <w:r>
        <w:t>kann.</w:t>
      </w:r>
      <w:r w:rsidR="00CE1CB5">
        <w:t>Roland:</w:t>
      </w:r>
      <w:r w:rsidR="00CE1CB5">
        <w:rPr>
          <w:rFonts w:ascii="Helvetica" w:hAnsi="Helvetica" w:cs="Helvetica"/>
          <w:color w:val="1D2129"/>
          <w:sz w:val="20"/>
          <w:szCs w:val="20"/>
          <w:shd w:val="clear" w:color="auto" w:fill="FFFFFF"/>
        </w:rPr>
        <w:t>Vorgehensweise</w:t>
      </w:r>
      <w:proofErr w:type="spellEnd"/>
      <w:r w:rsidR="00CE1CB5">
        <w:rPr>
          <w:rFonts w:ascii="Helvetica" w:hAnsi="Helvetica" w:cs="Helvetica"/>
          <w:color w:val="1D2129"/>
          <w:sz w:val="20"/>
          <w:szCs w:val="20"/>
          <w:shd w:val="clear" w:color="auto" w:fill="FFFFFF"/>
        </w:rPr>
        <w:t xml:space="preserv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00CE1CB5">
        <w:rPr>
          <w:rFonts w:ascii="Helvetica" w:hAnsi="Helvetica" w:cs="Helvetica"/>
          <w:color w:val="1D2129"/>
          <w:sz w:val="20"/>
          <w:szCs w:val="20"/>
          <w:shd w:val="clear" w:color="auto" w:fill="FFFFFF"/>
        </w:rPr>
        <w:t>Hololens</w:t>
      </w:r>
      <w:proofErr w:type="spellEnd"/>
      <w:r w:rsidR="00CE1CB5">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sidR="00CE1CB5">
        <w:rPr>
          <w:rFonts w:ascii="Helvetica" w:hAnsi="Helvetica" w:cs="Helvetica"/>
          <w:color w:val="1D2129"/>
          <w:sz w:val="20"/>
          <w:szCs w:val="20"/>
          <w:shd w:val="clear" w:color="auto" w:fill="FFFFFF"/>
        </w:rPr>
        <w:t>sharing</w:t>
      </w:r>
      <w:proofErr w:type="spellEnd"/>
      <w:r w:rsidR="00CE1CB5">
        <w:rPr>
          <w:rFonts w:ascii="Helvetica" w:hAnsi="Helvetica" w:cs="Helvetica"/>
          <w:color w:val="1D2129"/>
          <w:sz w:val="20"/>
          <w:szCs w:val="20"/>
          <w:shd w:val="clear" w:color="auto" w:fill="FFFFFF"/>
        </w:rPr>
        <w:t xml:space="preserve"> von Hologrammen? Was wäre mit remote-</w:t>
      </w:r>
      <w:proofErr w:type="spellStart"/>
      <w:r w:rsidR="00CE1CB5">
        <w:rPr>
          <w:rFonts w:ascii="Helvetica" w:hAnsi="Helvetica" w:cs="Helvetica"/>
          <w:color w:val="1D2129"/>
          <w:sz w:val="20"/>
          <w:szCs w:val="20"/>
          <w:shd w:val="clear" w:color="auto" w:fill="FFFFFF"/>
        </w:rPr>
        <w:t>multiplayer</w:t>
      </w:r>
      <w:proofErr w:type="spellEnd"/>
      <w:r w:rsidR="00CE1CB5">
        <w:rPr>
          <w:rFonts w:ascii="Helvetica" w:hAnsi="Helvetica" w:cs="Helvetica"/>
          <w:color w:val="1D2129"/>
          <w:sz w:val="20"/>
          <w:szCs w:val="20"/>
          <w:shd w:val="clear" w:color="auto" w:fill="FFFFFF"/>
        </w:rPr>
        <w:t>?) Daraus lassen sich dann Vorschläge/Konzepte ableiten, von denen ausgewählte in Deinem Prototypen landen</w:t>
      </w:r>
    </w:p>
    <w:p w:rsidR="00EE2DBC" w:rsidRDefault="00EE2DBC" w:rsidP="00E211C7">
      <w:pPr>
        <w:rPr>
          <w:rFonts w:ascii="Helvetica" w:hAnsi="Helvetica" w:cs="Helvetica"/>
          <w:color w:val="1D2129"/>
          <w:sz w:val="20"/>
          <w:szCs w:val="20"/>
          <w:shd w:val="clear" w:color="auto" w:fill="FFFFFF"/>
        </w:rPr>
      </w:pPr>
    </w:p>
    <w:p w:rsidR="00E211C7" w:rsidRDefault="00E211C7" w:rsidP="00E211C7">
      <w:pPr>
        <w:rPr>
          <w:rFonts w:ascii="Helvetica" w:hAnsi="Helvetica" w:cs="Helvetica"/>
          <w:color w:val="1D2129"/>
          <w:sz w:val="20"/>
          <w:szCs w:val="20"/>
          <w:shd w:val="clear" w:color="auto" w:fill="FFFFFF"/>
        </w:rPr>
      </w:pPr>
    </w:p>
    <w:p w:rsidR="00EE2DBC" w:rsidRPr="00CC7D23" w:rsidRDefault="00EE2DBC" w:rsidP="00E211C7"/>
    <w:sectPr w:rsidR="00EE2DBC"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2045C"/>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67B98A-ADEB-4D59-956A-6D1DF511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3992</Words>
  <Characters>25156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30</cp:revision>
  <dcterms:created xsi:type="dcterms:W3CDTF">2017-01-03T10:25:00Z</dcterms:created>
  <dcterms:modified xsi:type="dcterms:W3CDTF">2017-01-05T18:09:00Z</dcterms:modified>
</cp:coreProperties>
</file>