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AKADEMIA GÓRNICZO-HUTNICZA</w:t>
        <w:br w:type="textWrapping"/>
        <w:t xml:space="preserve">im. Stanisława Staszica w Krakowie</w:t>
        <w:br w:type="textWrapping"/>
        <w:t xml:space="preserve">WYDZIAŁ ZARZĄDZANIA</w:t>
      </w:r>
    </w:p>
    <w:p w:rsidR="00000000" w:rsidDel="00000000" w:rsidP="00000000" w:rsidRDefault="00000000" w:rsidRPr="00000000" w14:paraId="00000002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334333" cy="43244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4333" cy="432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Przedmiot: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Ekonometria finansowa i dynamiczna</w:t>
      </w:r>
    </w:p>
    <w:p w:rsidR="00000000" w:rsidDel="00000000" w:rsidP="00000000" w:rsidRDefault="00000000" w:rsidRPr="00000000" w14:paraId="00000004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Projekt: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4A, wersja A</w:t>
      </w:r>
    </w:p>
    <w:p w:rsidR="00000000" w:rsidDel="00000000" w:rsidP="00000000" w:rsidRDefault="00000000" w:rsidRPr="00000000" w14:paraId="00000005">
      <w:pPr>
        <w:spacing w:after="240" w:before="240" w:line="3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Autorzy: </w:t>
      </w:r>
      <w:r w:rsidDel="00000000" w:rsidR="00000000" w:rsidRPr="00000000">
        <w:rPr>
          <w:rtl w:val="0"/>
        </w:rPr>
        <w:t xml:space="preserve">Małgorzata Leszczyńska, Jakub Laszczyk, Aleksandra Wajda, Mateusz Chojeck</w:t>
      </w:r>
      <w:r w:rsidDel="00000000" w:rsidR="00000000" w:rsidRPr="00000000">
        <w:rPr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07">
      <w:pPr>
        <w:spacing w:after="240" w:before="240" w:line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Informatyka i Ekonometria</w:t>
        <w:br w:type="textWrapping"/>
        <w:t xml:space="preserve">2 rok studia magisterskie niestacjonarne, </w:t>
        <w:br w:type="textWrapping"/>
      </w:r>
      <w:r w:rsidDel="00000000" w:rsidR="00000000" w:rsidRPr="00000000">
        <w:rPr>
          <w:rtl w:val="0"/>
        </w:rPr>
        <w:t xml:space="preserve">grupa laboratoryjna 1</w:t>
      </w:r>
    </w:p>
    <w:p w:rsidR="00000000" w:rsidDel="00000000" w:rsidP="00000000" w:rsidRDefault="00000000" w:rsidRPr="00000000" w14:paraId="00000008">
      <w:pPr>
        <w:spacing w:after="240" w:before="240" w:line="300" w:lineRule="auto"/>
        <w:jc w:val="center"/>
        <w:rPr/>
      </w:pPr>
      <w:r w:rsidDel="00000000" w:rsidR="00000000" w:rsidRPr="00000000">
        <w:rPr>
          <w:rtl w:val="0"/>
        </w:rPr>
        <w:t xml:space="preserve">Kraków, 16 listopada 2025 r.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/>
      </w:pPr>
      <w:bookmarkStart w:colFirst="0" w:colLast="0" w:name="_wsjgkqfp3bjs" w:id="0"/>
      <w:bookmarkEnd w:id="0"/>
      <w:r w:rsidDel="00000000" w:rsidR="00000000" w:rsidRPr="00000000">
        <w:rPr>
          <w:rtl w:val="0"/>
        </w:rPr>
        <w:t xml:space="preserve">Polecenie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Projekt 4A, wersja A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Do całego szeregu czasowego (bez ostatniej obserwacji) dopasować odpowiedni model ARMA z dołożonym modelem uwzględniającym możliwy efekt ARCH. Zweryfikować jego poprawność. Zwrócić szczególną uwagę na zgodność z wybranym rozkładem warunkowym. Wyznaczyć 95% przedział ufności dla następnej stopy zwrotu i sprawdzić, czy rzeczywista dana znajduje się w tym przedziale. Na podstawie odpowiedniego rozkładu warunkowego obliczyć prawdopodobieństwo, że następna stopa zwrotu będzie ujemna. Rozważyć następujące modele warunkowej wariancji: GARCH, EGARCH, GJR-GARCH, każdy z trzema różnymi rozkładami warunkowymi.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both"/>
        <w:rPr/>
      </w:pPr>
      <w:bookmarkStart w:colFirst="0" w:colLast="0" w:name="_ipy9diih5qw8" w:id="1"/>
      <w:bookmarkEnd w:id="1"/>
      <w:r w:rsidDel="00000000" w:rsidR="00000000" w:rsidRPr="00000000">
        <w:rPr>
          <w:rtl w:val="0"/>
        </w:rPr>
        <w:t xml:space="preserve">Cel projektu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Analiza finansowych szeregów czasowych wymaga modeli, które poza dynamiką średniej (ARMA) uwzględniają również zmienność wariancji w czasie, czyli efekt ARCH.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Projekt koncentruje się na dopasowaniu i weryfikacji poprawności takiego połączonego modelu. Porównane zostaną różne specyfikacje dla warunkowej wariancji (GARCH, EGARCH, GJR-GARCH) oraz trzy różne rozkłady warunkowe, aby znaleźć najlepsze dopasowanie do danych.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Finalny model posłuży do prognozy jednokresowej, w ramach której wyznaczony zostanie 95% przedział ufności dla następnej stopy zwrotu oraz obliczone prawdopodobieństwo straty (ujemnej stopy zwrotu). Prognoza ta zostanie następnie zweryfikowana z rzeczywistą, ostatnią obserwacją szeregu.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both"/>
        <w:rPr/>
      </w:pPr>
      <w:bookmarkStart w:colFirst="0" w:colLast="0" w:name="_oh0aib1z2k2c" w:id="2"/>
      <w:bookmarkEnd w:id="2"/>
      <w:r w:rsidDel="00000000" w:rsidR="00000000" w:rsidRPr="00000000">
        <w:rPr>
          <w:rtl w:val="0"/>
        </w:rPr>
        <w:t xml:space="preserve">Opis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Podstawę projektu stanowią dane historyczne w postaci szeregu czasowego dla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indeksu WIG20</w:t>
        </w:r>
      </w:hyperlink>
      <w:r w:rsidDel="00000000" w:rsidR="00000000" w:rsidRPr="00000000">
        <w:rPr>
          <w:rtl w:val="0"/>
        </w:rPr>
        <w:t xml:space="preserve">, który grupuje 20 największych oraz najbardziej płynnych spółek notowanych na Giełdzie Papierów Wartościowych w Warszawie.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Surowe dane, pochodzące z pliku </w:t>
      </w:r>
      <w:r w:rsidDel="00000000" w:rsidR="00000000" w:rsidRPr="00000000">
        <w:rPr>
          <w:rtl w:val="0"/>
        </w:rPr>
        <w:t xml:space="preserve">wig20_d.csv</w:t>
      </w:r>
      <w:r w:rsidDel="00000000" w:rsidR="00000000" w:rsidRPr="00000000">
        <w:rPr>
          <w:rtl w:val="0"/>
        </w:rPr>
        <w:t xml:space="preserve">, obejmują następujące informacje dla każdej sesji giełdowej: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Cena otwarcia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Cena maksymalna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Cena minimalna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Cena zamknięcia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Wolumen obrotu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Okres badawczy obejmuje notowania dzienne od 2 stycznia 2017 r. do 14 listopada 2025 r. W sumie analizie poddano 2218 obserwacji (sesji giełdowych).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bqojj3aceru1" w:id="3"/>
      <w:bookmarkEnd w:id="3"/>
      <w:r w:rsidDel="00000000" w:rsidR="00000000" w:rsidRPr="00000000">
        <w:rPr>
          <w:rtl w:val="0"/>
        </w:rPr>
        <w:t xml:space="preserve">Warunkowa średnia i warunkowa wariancja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Jak wiadomo, dane finansowe nie są niezależne ani nie mają stałej wariancji. Często występuje tzw. klasteryzacja zmienności (są okresy dużej i okresy małej zmienności). Z tego powodu w analizie finansowej stosuje się warunkową średnią i warunkową wariancję, które uwzględniają wpływ poprzednich informacji na kolejną obserwację. Warunkową średnią w projekcie modelujemy za pomocą ARMA, natomiast warunkową wariancję badamy modelami GARCH.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or3t0br7oq9h" w:id="4"/>
      <w:bookmarkEnd w:id="4"/>
      <w:r w:rsidDel="00000000" w:rsidR="00000000" w:rsidRPr="00000000">
        <w:rPr>
          <w:rtl w:val="0"/>
        </w:rPr>
        <w:t xml:space="preserve">Model </w:t>
      </w:r>
      <w:r w:rsidDel="00000000" w:rsidR="00000000" w:rsidRPr="00000000">
        <w:rPr>
          <w:rtl w:val="0"/>
        </w:rPr>
        <w:t xml:space="preserve">GARCH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lineRule="auto"/>
        <w:rPr/>
      </w:pPr>
      <w:bookmarkStart w:colFirst="0" w:colLast="0" w:name="_31ovyc8ufmer" w:id="5"/>
      <w:bookmarkEnd w:id="5"/>
      <w:r w:rsidDel="00000000" w:rsidR="00000000" w:rsidRPr="00000000">
        <w:rPr>
          <w:rtl w:val="0"/>
        </w:rPr>
        <w:t xml:space="preserve">1. GARCH: Model symetryczny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Działanie m</w:t>
      </w:r>
      <w:r w:rsidDel="00000000" w:rsidR="00000000" w:rsidRPr="00000000">
        <w:rPr>
          <w:rtl w:val="0"/>
        </w:rPr>
        <w:t xml:space="preserve">odelu GARCH(1,1) opiera się na założeniu, że dzisiejsza wariacja jest średnią ważoną trzech składników: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ω</w:t>
      </w:r>
      <w:r w:rsidDel="00000000" w:rsidR="00000000" w:rsidRPr="00000000">
        <w:rPr>
          <w:rtl w:val="0"/>
        </w:rPr>
        <w:t xml:space="preserve"> (omega): Stała, długoterminowa średnia wariancja, do której model "wraca".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α u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vertAlign w:val="subscript"/>
          <w:rtl w:val="0"/>
        </w:rPr>
        <w:t xml:space="preserve">t−1</w:t>
      </w:r>
      <w:r w:rsidDel="00000000" w:rsidR="00000000" w:rsidRPr="00000000">
        <w:rPr>
          <w:rtl w:val="0"/>
        </w:rPr>
        <w:t xml:space="preserve"> (składnik ARCH): Wpływ wczorajszego szoku (błędu).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0"/>
        </w:rPr>
        <w:t xml:space="preserve"> to waga, jaką model przykłada do tej "nowej informacji".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β σ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vertAlign w:val="subscript"/>
          <w:rtl w:val="0"/>
        </w:rPr>
        <w:t xml:space="preserve">t−1</w:t>
      </w:r>
      <w:r w:rsidDel="00000000" w:rsidR="00000000" w:rsidRPr="00000000">
        <w:rPr>
          <w:rtl w:val="0"/>
        </w:rPr>
        <w:t xml:space="preserve">​ (składnik GARCH): Wpływ wczorajszej prognozy wariancji. </w:t>
      </w:r>
      <w:r w:rsidDel="00000000" w:rsidR="00000000" w:rsidRPr="00000000">
        <w:rPr>
          <w:rtl w:val="0"/>
        </w:rPr>
        <w:t xml:space="preserve">β</w:t>
      </w:r>
      <w:r w:rsidDel="00000000" w:rsidR="00000000" w:rsidRPr="00000000">
        <w:rPr>
          <w:rtl w:val="0"/>
        </w:rPr>
        <w:t xml:space="preserve"> to waga "starej informacji", która pokazuje, jak bardzo zmienność jest trwała.</w:t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​ = ω + α u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vertAlign w:val="subscript"/>
          <w:rtl w:val="0"/>
        </w:rPr>
        <w:t xml:space="preserve">t−1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​+ β σ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vertAlign w:val="subscript"/>
          <w:rtl w:val="0"/>
        </w:rPr>
        <w:t xml:space="preserve">t−1</w:t>
      </w:r>
      <w:r w:rsidDel="00000000" w:rsidR="00000000" w:rsidRPr="00000000">
        <w:rPr>
          <w:rtl w:val="0"/>
        </w:rPr>
        <w:t xml:space="preserve">​,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Kluczowa cecha (i wada): symetria. Model używa kwadratu szoku (</w:t>
      </w:r>
      <w:r w:rsidDel="00000000" w:rsidR="00000000" w:rsidRPr="00000000">
        <w:rPr>
          <w:rtl w:val="0"/>
        </w:rPr>
        <w:t xml:space="preserve">a_{t-1}²</w:t>
      </w:r>
      <w:r w:rsidDel="00000000" w:rsidR="00000000" w:rsidRPr="00000000">
        <w:rPr>
          <w:rtl w:val="0"/>
        </w:rPr>
        <w:t xml:space="preserve">). Oznacza to, że szok ujemny (np. spadek -2%) i szok dodatni (np. wzrost +2%) mają dokładnie taki sam wpływ na prognozę przyszłej zmienności. W rzeczywistości rynkowej jest to często nieprawdziwe.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lineRule="auto"/>
        <w:rPr/>
      </w:pPr>
      <w:bookmarkStart w:colFirst="0" w:colLast="0" w:name="_bsu16rxf7hm8" w:id="6"/>
      <w:bookmarkEnd w:id="6"/>
      <w:r w:rsidDel="00000000" w:rsidR="00000000" w:rsidRPr="00000000">
        <w:rPr>
          <w:rtl w:val="0"/>
        </w:rPr>
        <w:t xml:space="preserve">2. EGARCH: Model asymetryczny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Model EGARCH (Eksponencjalny GARCH) został zaprojektowany, aby bezpośrednio modelować efekt dźwigni, czyli silniejszą reakcję zmienności na "złe wieści" (spadki) niż na "dobre wieści" (wzrosty). Modeluje on logarytm wariancji (</w:t>
      </w:r>
      <w:r w:rsidDel="00000000" w:rsidR="00000000" w:rsidRPr="00000000">
        <w:rPr>
          <w:rtl w:val="0"/>
        </w:rPr>
        <w:t xml:space="preserve">log(σ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²)</w:t>
      </w:r>
      <w:r w:rsidDel="00000000" w:rsidR="00000000" w:rsidRPr="00000000">
        <w:rPr>
          <w:rtl w:val="0"/>
        </w:rPr>
        <w:t xml:space="preserve">). Ma to dwie zalety: prognozy wariancji są zawsze dodatnie, a model może inaczej reagować na znak szoku.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Kluczowa cecha: Asymetria W równaniu EGARCH znajduje się specjalny parametr (</w:t>
      </w:r>
      <w:r w:rsidDel="00000000" w:rsidR="00000000" w:rsidRPr="00000000">
        <w:rPr>
          <w:rtl w:val="0"/>
        </w:rPr>
        <w:t xml:space="preserve">γ</w:t>
      </w:r>
      <w:r w:rsidDel="00000000" w:rsidR="00000000" w:rsidRPr="00000000">
        <w:rPr>
          <w:rtl w:val="0"/>
        </w:rPr>
        <w:t xml:space="preserve">, gamma), który mierzy siłę asymetrii. Jeśli </w:t>
      </w:r>
      <w:r w:rsidDel="00000000" w:rsidR="00000000" w:rsidRPr="00000000">
        <w:rPr>
          <w:rtl w:val="0"/>
        </w:rPr>
        <w:t xml:space="preserve">γ &lt; 0</w:t>
      </w:r>
      <w:r w:rsidDel="00000000" w:rsidR="00000000" w:rsidRPr="00000000">
        <w:rPr>
          <w:rtl w:val="0"/>
        </w:rPr>
        <w:t xml:space="preserve"> wskazuje to na negatywny szok. Powoduje to większy wzrost przyszłej zmienności niż pozytywny szok o tej samej wielkości. Model ten więc rozdziela wpływ szoku na jego wielkość (jak duży był) i znak (czy był to wzrost, czy spadek).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lineRule="auto"/>
        <w:rPr/>
      </w:pPr>
      <w:bookmarkStart w:colFirst="0" w:colLast="0" w:name="_eafgv4aehyom" w:id="7"/>
      <w:bookmarkEnd w:id="7"/>
      <w:r w:rsidDel="00000000" w:rsidR="00000000" w:rsidRPr="00000000">
        <w:rPr>
          <w:rtl w:val="0"/>
        </w:rPr>
        <w:t xml:space="preserve">3. GJR-GARCH: Model asymetryczny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Model GJR-GARCH to alternatywne i bardzo popularne podejście do modelowania asymetrii. Jest to rozszerzenie standardowego modelu GARCH. Działa tak samo, ale dodaje jeden "karny" składnik, który "włącza się" tylko wtedy, gdy szok jest negatywny.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Kluczowa cecha: Asymetria przez zmienną warunkową. Model dodaje do równania parametr </w:t>
      </w:r>
      <w:r w:rsidDel="00000000" w:rsidR="00000000" w:rsidRPr="00000000">
        <w:rPr>
          <w:rtl w:val="0"/>
        </w:rPr>
        <w:t xml:space="preserve">γ</w:t>
      </w:r>
      <w:r w:rsidDel="00000000" w:rsidR="00000000" w:rsidRPr="00000000">
        <w:rPr>
          <w:rtl w:val="0"/>
        </w:rPr>
        <w:t xml:space="preserve"> (gamma) mnożony przez wczorajszy szok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vertAlign w:val="subscript"/>
          <w:rtl w:val="0"/>
        </w:rPr>
        <w:t xml:space="preserve">t-1</w:t>
      </w:r>
      <w:r w:rsidDel="00000000" w:rsidR="00000000" w:rsidRPr="00000000">
        <w:rPr>
          <w:rtl w:val="0"/>
        </w:rPr>
        <w:t xml:space="preserve">²</w:t>
      </w:r>
      <w:r w:rsidDel="00000000" w:rsidR="00000000" w:rsidRPr="00000000">
        <w:rPr>
          <w:rtl w:val="0"/>
        </w:rPr>
        <w:t xml:space="preserve">), ale </w:t>
      </w:r>
      <w:r w:rsidDel="00000000" w:rsidR="00000000" w:rsidRPr="00000000">
        <w:rPr>
          <w:i w:val="1"/>
          <w:iCs w:val="1"/>
          <w:rtl w:val="0"/>
        </w:rPr>
        <w:t xml:space="preserve">tylko</w:t>
      </w:r>
      <w:r w:rsidDel="00000000" w:rsidR="00000000" w:rsidRPr="00000000">
        <w:rPr>
          <w:rtl w:val="0"/>
        </w:rPr>
        <w:t xml:space="preserve"> jeśli ten szok był ujemny (jeśli a</w:t>
      </w:r>
      <w:r w:rsidDel="00000000" w:rsidR="00000000" w:rsidRPr="00000000">
        <w:rPr>
          <w:vertAlign w:val="subscript"/>
          <w:rtl w:val="0"/>
        </w:rPr>
        <w:t xml:space="preserve">t-1</w:t>
      </w:r>
      <w:r w:rsidDel="00000000" w:rsidR="00000000" w:rsidRPr="00000000">
        <w:rPr>
          <w:rtl w:val="0"/>
        </w:rPr>
        <w:t xml:space="preserve"> &lt; 0</w:t>
      </w:r>
      <w:r w:rsidDel="00000000" w:rsidR="00000000" w:rsidRPr="00000000">
        <w:rPr>
          <w:rtl w:val="0"/>
        </w:rPr>
        <w:t xml:space="preserve">). Jeśli wczorajszy szok był pozytywny, to wpływ na zmienność jest mierzony tylko przez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0"/>
        </w:rPr>
        <w:t xml:space="preserve">. Jeśli wczorajszy szok był negatywny, to wpływ na zmienność jest mierzony przez </w:t>
      </w:r>
      <w:r w:rsidDel="00000000" w:rsidR="00000000" w:rsidRPr="00000000">
        <w:rPr>
          <w:rtl w:val="0"/>
        </w:rPr>
        <w:t xml:space="preserve">α + γ. </w:t>
      </w:r>
      <w:r w:rsidDel="00000000" w:rsidR="00000000" w:rsidRPr="00000000">
        <w:rPr>
          <w:rtl w:val="0"/>
        </w:rPr>
        <w:t xml:space="preserve">Jeśli </w:t>
      </w:r>
      <w:r w:rsidDel="00000000" w:rsidR="00000000" w:rsidRPr="00000000">
        <w:rPr>
          <w:rtl w:val="0"/>
        </w:rPr>
        <w:t xml:space="preserve">γ &gt; 0</w:t>
      </w:r>
      <w:r w:rsidDel="00000000" w:rsidR="00000000" w:rsidRPr="00000000">
        <w:rPr>
          <w:rtl w:val="0"/>
        </w:rPr>
        <w:t xml:space="preserve">, oznacza to, że negatywne szoki mają dodatkowy, wzmocniony wpływ na przyszłą zmienność, co jest zgodne z teorią efektu dźwigni.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1t98ln8us66" w:id="8"/>
      <w:bookmarkEnd w:id="8"/>
      <w:r w:rsidDel="00000000" w:rsidR="00000000" w:rsidRPr="00000000">
        <w:rPr>
          <w:rtl w:val="0"/>
        </w:rPr>
        <w:t xml:space="preserve">Kroki w projekcie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W projekcie wczytano dane, obliczono logarytmiczne stopy zwrotu * 100 (szczegóły tej części analizy opisywano w poprzednich projektach, gdzie również charakteryzowaliśmy dane WIG-20). Ostatnia obserwacja została odsunięta jako rzeczywista następna obserwacja używana przy ocenie prognoz.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Następnie wybrano model ARMA. W celu optymalizacji obliczeń ograniczono przeszukiwanie p i q dla wartości od 0 do 3. Kryterium wyboru była minimalna wartość wskaźnika AIC. Wybrany został model ARMA(0, 0).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233988" cy="319854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198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Następnie zastosowano trzy modele GARCH do oszacowania warunkowej wariancji: </w:t>
      </w:r>
      <w:r w:rsidDel="00000000" w:rsidR="00000000" w:rsidRPr="00000000">
        <w:rPr>
          <w:rtl w:val="0"/>
        </w:rPr>
        <w:t xml:space="preserve">GARCH(1,1), EGARCH(1,1), GJR-GARCH(1,1). Każdy</w:t>
      </w:r>
      <w:r w:rsidDel="00000000" w:rsidR="00000000" w:rsidRPr="00000000">
        <w:rPr>
          <w:rtl w:val="0"/>
        </w:rPr>
        <w:t xml:space="preserve"> z modeli estymowano trzykrotnie dla różnych rozkładów: normalnego, t-studenta, skew-t (skośny t-Studenta), co w sumie dało 9 modeli.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Dla każdego z 9 dopasowanych modeli wyznaczono warunkową średnią i warunkową wariancję oraz kwantyle służące do zbudowania przedziałów ufności oraz sprawdzono, czy wartość realna się tam znajduje. Obliczono prawdopodobieństwo, że stopa zwrotu będzie ujemna.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Finalnie przeprowadzono diagnostykę reszt za pomocą testu Ljunga-Boxa. Przeprowadzono go dla znormalizowanych reszt oraz dla kwadratów reszt. H0: brak autokorelacji, H1: istnieją autokorelacje. Jeżeli p-value &lt; 0,05, to przyjmujemy H1.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  <w:t xml:space="preserve">Powyższy test wykonujemy dla reszt standaryzowanych, ponieważ chcemy dowiedzieć się czy po </w:t>
      </w:r>
      <w:r w:rsidDel="00000000" w:rsidR="00000000" w:rsidRPr="00000000">
        <w:rPr>
          <w:rtl w:val="0"/>
        </w:rPr>
        <w:t xml:space="preserve">uwzględnieniu warunkowej zmienności,reszty mają rozkład zbliżony do normalnego. Jeśli standaryzowane reszty nie są normalne, model źle modeluje warunkową dystrybucję. Natomiast t</w:t>
      </w:r>
      <w:r w:rsidDel="00000000" w:rsidR="00000000" w:rsidRPr="00000000">
        <w:rPr>
          <w:rtl w:val="0"/>
        </w:rPr>
        <w:t xml:space="preserve">est na kwadraty reszt standaryzowanych wykonywany jest po to, aby sprawdzić, czy pozostały efekty ARCH (czyli czy model GARCH prawidłowo modeluje zmienność warunkową).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42vexoctrzh4" w:id="9"/>
      <w:bookmarkEnd w:id="9"/>
      <w:r w:rsidDel="00000000" w:rsidR="00000000" w:rsidRPr="00000000">
        <w:rPr>
          <w:rtl w:val="0"/>
        </w:rPr>
        <w:t xml:space="preserve">Wyniki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Finalnie wybrano najlepszy model porównując je za pomocą AIC, BIC, diagnostyki reszt, wiarygodności przedziału ufności i prawdopodobieństwa najniższej stopy zwrotu. Jak widać w poniższej tabeli, najlepsze wyniki pod kątem kryterium AIC osiągnął GJR-GARCH przy założeniu rozkładu t-studenta dla reszt.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Tak jak wyjaśniono wyżej, model GJR-GARCH dobrze radzi sobie z asymetrią w zmienności, która występuje w danych WIG-20. Rozkład t-Studenta natomiast jest bardziej odpowiedni dla danych, które mają grube ogony (badanie rozkładu danych było przeprowadzone w projekcie 1A i 1B). 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W tabeli widać, że w każdej kombinacji modeli warunkowa średnia waha się między 0,01 a 0,04%. Oznacza to, że prognozowany jutrzejszy log-zwrotu jest bliski zeru (że faktyczna wartość jutro będzie bardzo bliska wartości dzisiaj). Warunkowe odchylenie standardowe natomiast waha się między 1,02 a 1,08, czyli zmienność jednodniowa indeksu WIG20 wynosi około 1%.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Równie małe różnice w otrzymanych wynikach dla poszczególnych 9 modeli są dla przedziałów ufności. Dla najlepszych modeli wynosi on od -2,02 do 2,04. Oznacza to, że oczekiwany jutrzejszy zwrot z 95% pewnością mieści się w granicach +-2%. Rzeczywisty kolejny zwrot dla każdego modelu wynosi -0,86% i dla każdego modelu mieści się w przedziale ufności. Prawdopodobieństwo, że kolejna stopa zwrotu będzie ujemna waha się między 0,48 a 0,50, więc mamy tutaj brak wyraźnej przewagi kierunku zmian w krótkim (jednodniowym) horyzoncie czasowym.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Test Ljung-Boxa dla zestandaryzowanych reszt dla wszystkich modeli osiąga p-value &gt; 0,05, więc nie ma podstaw do odrzucenia hipotezy zerowej mówiącej o braku autokorelacji w resztach. Test ten dla kwadratów reszt również nie odrzuca hipotezy zerowej dla większości modeli (w tym wybranego najlepszego), więc oznacza to, że model “wyczyścił” efekt ARCH/GARCH.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W tabeli rzuca się też to, że wszystkie modele z założeniem o resztach z rozkładu normalnego są na samym dole tabeli (osiągają najgorsze wyniki kryterium informacyjnych - AIC i BIC). Natomiast modele EGARCH zgodnie z testem Ljung-Boxa dla kwadratów reszt nie pozbyły się efektu ARCH/GARCH.</w:t>
      </w:r>
    </w:p>
    <w:p w:rsidR="00000000" w:rsidDel="00000000" w:rsidP="00000000" w:rsidRDefault="00000000" w:rsidRPr="00000000" w14:paraId="00000045">
      <w:pPr>
        <w:pStyle w:val="Heading1"/>
        <w:jc w:val="both"/>
        <w:rPr/>
      </w:pPr>
      <w:bookmarkStart w:colFirst="0" w:colLast="0" w:name="_ps15xjs9686z" w:id="10"/>
      <w:bookmarkEnd w:id="10"/>
      <w:r w:rsidDel="00000000" w:rsidR="00000000" w:rsidRPr="00000000">
        <w:rPr>
          <w:rtl w:val="0"/>
        </w:rPr>
        <w:t xml:space="preserve">Podsumowanie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Dla badanych danych WIG-20 najlepszy okazał się model ARMA(0,0) GJR-GARCH(1,1) z rozkładem t-Studenta. Model ten osiągnął najlepsze wartości kryteriów informacyjnych, nie wskazuje na pozostawienie autokorelacji ani efektu GARCH. Uzyskana warunkowa średnia jest bliska 0, warunkowa wariancja 1%, a przedział ufności to +-2%. Prawdopodobieństwo ujemnego zwrotu wynosi około 0,5. </w:t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tooq.pl/q/d/?s=wig20&amp;i=d&amp;f=20170101&amp;t=20251114&amp;l=56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