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bookmarkEnd w:id="0"/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5pt" o:ole="" fillcolor="window">
            <v:imagedata r:id="rId7" o:title=""/>
          </v:shape>
          <o:OLEObject Type="Embed" ProgID="Equation.3" ShapeID="_x0000_i1025" DrawAspect="Content" ObjectID="_1695393828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2pt;height:15pt" o:ole="" fillcolor="window">
            <v:imagedata r:id="rId9" o:title=""/>
          </v:shape>
          <o:OLEObject Type="Embed" ProgID="Equation.3" ShapeID="_x0000_i1026" DrawAspect="Content" ObjectID="_1695393829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pt;height:13.2pt" o:ole="" fillcolor="window">
            <v:imagedata r:id="rId11" o:title=""/>
          </v:shape>
          <o:OLEObject Type="Embed" ProgID="Equation.3" ShapeID="_x0000_i1027" DrawAspect="Content" ObjectID="_1695393830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2pt;height:15pt" o:ole="" fillcolor="window">
            <v:imagedata r:id="rId13" o:title=""/>
          </v:shape>
          <o:OLEObject Type="Embed" ProgID="Equation.3" ShapeID="_x0000_i1028" DrawAspect="Content" ObjectID="_1695393831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8pt;height:17.4pt" o:ole="" fillcolor="window">
            <v:imagedata r:id="rId15" o:title=""/>
          </v:shape>
          <o:OLEObject Type="Embed" ProgID="Equation.3" ShapeID="_x0000_i1029" DrawAspect="Content" ObjectID="_1695393832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2pt;height:15pt" o:ole="" fillcolor="window">
            <v:imagedata r:id="rId17" o:title=""/>
          </v:shape>
          <o:OLEObject Type="Embed" ProgID="Equation.3" ShapeID="_x0000_i1030" DrawAspect="Content" ObjectID="_1695393833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8pt;height:17.4pt" o:ole="" fillcolor="window">
            <v:imagedata r:id="rId19" o:title=""/>
          </v:shape>
          <o:OLEObject Type="Embed" ProgID="Equation.3" ShapeID="_x0000_i1031" DrawAspect="Content" ObjectID="_1695393834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="00842344">
        <w:rPr>
          <w:rStyle w:val="EmphasisI"/>
          <w:i/>
          <w:iCs/>
          <w:position w:val="-6"/>
        </w:rPr>
        <w:pict>
          <v:shape id="_x0000_i1032" type="#_x0000_t75" style="width:12pt;height:13.2pt" fillcolor="window">
            <v:imagedata r:id="rId21" o:title=""/>
          </v:shape>
        </w:pi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pt;height:15pt" o:ole="" fillcolor="window">
            <v:imagedata r:id="rId22" o:title=""/>
          </v:shape>
          <o:OLEObject Type="Embed" ProgID="Equation.3" ShapeID="_x0000_i1033" DrawAspect="Content" ObjectID="_1695393835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2pt;height:15pt" o:ole="" fillcolor="window">
            <v:imagedata r:id="rId24" o:title=""/>
          </v:shape>
          <o:OLEObject Type="Embed" ProgID="Equation.3" ShapeID="_x0000_i1034" DrawAspect="Content" ObjectID="_1695393836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2pt;height:15pt" o:ole="" fillcolor="window">
            <v:imagedata r:id="rId26" o:title=""/>
          </v:shape>
          <o:OLEObject Type="Embed" ProgID="Equation.3" ShapeID="_x0000_i1035" DrawAspect="Content" ObjectID="_1695393837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9.2pt;height:17.4pt" o:ole="" fillcolor="window">
            <v:imagedata r:id="rId28" o:title=""/>
          </v:shape>
          <o:OLEObject Type="Embed" ProgID="Equation.3" ShapeID="_x0000_i1036" DrawAspect="Content" ObjectID="_1695393838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2pt;height:15pt" o:ole="" fillcolor="window">
            <v:imagedata r:id="rId30" o:title=""/>
          </v:shape>
          <o:OLEObject Type="Embed" ProgID="Equation.3" ShapeID="_x0000_i1037" DrawAspect="Content" ObjectID="_1695393839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2pt;height:15pt" o:ole="" fillcolor="window">
            <v:imagedata r:id="rId32" o:title=""/>
          </v:shape>
          <o:OLEObject Type="Embed" ProgID="Equation.3" ShapeID="_x0000_i1038" DrawAspect="Content" ObjectID="_1695393840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6.2pt;height:17.4pt" o:ole="" fillcolor="window">
            <v:imagedata r:id="rId34" o:title=""/>
          </v:shape>
          <o:OLEObject Type="Embed" ProgID="Equation.3" ShapeID="_x0000_i1039" DrawAspect="Content" ObjectID="_1695393841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2pt;height:15pt" o:ole="" fillcolor="window">
            <v:imagedata r:id="rId36" o:title=""/>
          </v:shape>
          <o:OLEObject Type="Embed" ProgID="Equation.3" ShapeID="_x0000_i1040" DrawAspect="Content" ObjectID="_1695393842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2pt;height:15pt" o:ole="" fillcolor="window">
            <v:imagedata r:id="rId38" o:title=""/>
          </v:shape>
          <o:OLEObject Type="Embed" ProgID="Equation.3" ShapeID="_x0000_i1041" DrawAspect="Content" ObjectID="_1695393843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4pt;height:17.4pt" o:ole="">
            <v:imagedata r:id="rId40" o:title=""/>
          </v:shape>
          <o:OLEObject Type="Embed" ProgID="Equation.3" ShapeID="_x0000_i1042" DrawAspect="Content" ObjectID="_1695393844" r:id="rId41"/>
        </w:object>
      </w:r>
      <w:r w:rsidR="00561E96" w:rsidRPr="00315E88">
        <w:tab/>
        <w:t>and</w:t>
      </w:r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4pt;height:17.4pt" o:ole="">
            <v:imagedata r:id="rId42" o:title=""/>
          </v:shape>
          <o:OLEObject Type="Embed" ProgID="Equation.3" ShapeID="_x0000_i1043" DrawAspect="Content" ObjectID="_1695393845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5pt;height:17.4pt" o:ole="" fillcolor="window">
            <v:imagedata r:id="rId44" o:title=""/>
          </v:shape>
          <o:OLEObject Type="Embed" ProgID="Equation.3" ShapeID="_x0000_i1044" DrawAspect="Content" ObjectID="_1695393846" r:id="rId45"/>
        </w:object>
      </w:r>
      <w:r w:rsidRPr="00D6660D">
        <w:rPr>
          <w:lang w:val="en-GB"/>
        </w:rPr>
        <w:t xml:space="preserve"> and </w:t>
      </w:r>
      <w:r w:rsidRPr="00315E88">
        <w:rPr>
          <w:position w:val="-10"/>
          <w:lang w:val="en-GB"/>
        </w:rPr>
        <w:object w:dxaOrig="2700" w:dyaOrig="340">
          <v:shape id="_x0000_i1045" type="#_x0000_t75" style="width:135pt;height:17.4pt" o:ole="" fillcolor="window">
            <v:imagedata r:id="rId46" o:title=""/>
          </v:shape>
          <o:OLEObject Type="Embed" ProgID="Equation.3" ShapeID="_x0000_i1045" DrawAspect="Content" ObjectID="_1695393847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.2pt;height:17.4pt" o:ole="" fillcolor="window">
            <v:imagedata r:id="rId48" o:title=""/>
          </v:shape>
          <o:OLEObject Type="Embed" ProgID="Equation.3" ShapeID="_x0000_i1046" DrawAspect="Content" ObjectID="_1695393848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0.8pt;height:17.4pt" o:ole="" fillcolor="window">
            <v:imagedata r:id="rId50" o:title=""/>
          </v:shape>
          <o:OLEObject Type="Embed" ProgID="Equation.3" ShapeID="_x0000_i1047" DrawAspect="Content" ObjectID="_1695393849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>
          <v:shape id="_x0000_i1048" type="#_x0000_t75" style="width:75pt;height:18pt" o:ole="">
            <v:imagedata r:id="rId52" o:title=""/>
          </v:shape>
          <o:OLEObject Type="Embed" ProgID="Equation.3" ShapeID="_x0000_i1048" DrawAspect="Content" ObjectID="_1695393850" r:id="rId53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>
          <v:shape id="_x0000_i1049" type="#_x0000_t75" style="width:75pt;height:18pt" o:ole="">
            <v:imagedata r:id="rId52" o:title=""/>
          </v:shape>
          <o:OLEObject Type="Embed" ProgID="Equation.3" ShapeID="_x0000_i1049" DrawAspect="Content" ObjectID="_1695393851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6pt;height:15.6pt" o:ole="" fillcolor="window">
                  <v:imagedata r:id="rId55" o:title=""/>
                </v:shape>
                <o:OLEObject Type="Embed" ProgID="Equation.3" ShapeID="_x0000_i1050" DrawAspect="Content" ObjectID="_1695393852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6.2pt;height:16.2pt" o:ole="" fillcolor="window">
                  <v:imagedata r:id="rId57" o:title=""/>
                </v:shape>
                <o:OLEObject Type="Embed" ProgID="Equation.3" ShapeID="_x0000_i1051" DrawAspect="Content" ObjectID="_1695393853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8.8pt;height:16.2pt" o:ole="" fillcolor="window">
                  <v:imagedata r:id="rId59" o:title=""/>
                </v:shape>
                <o:OLEObject Type="Embed" ProgID="Equation.3" ShapeID="_x0000_i1052" DrawAspect="Content" ObjectID="_1695393854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4pt;height:16.2pt" o:ole="" fillcolor="window">
                  <v:imagedata r:id="rId61" o:title=""/>
                </v:shape>
                <o:OLEObject Type="Embed" ProgID="Equation.3" ShapeID="_x0000_i1053" DrawAspect="Content" ObjectID="_1695393855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pt;height:16.2pt" o:ole="" fillcolor="window">
                  <v:imagedata r:id="rId63" o:title=""/>
                </v:shape>
                <o:OLEObject Type="Embed" ProgID="Equation.3" ShapeID="_x0000_i1054" DrawAspect="Content" ObjectID="_1695393856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4pt;height:16.2pt" o:ole="" fillcolor="window">
                  <v:imagedata r:id="rId65" o:title=""/>
                </v:shape>
                <o:OLEObject Type="Embed" ProgID="Equation.3" ShapeID="_x0000_i1055" DrawAspect="Content" ObjectID="_1695393857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4pt;height:16.2pt" o:ole="" fillcolor="window">
                  <v:imagedata r:id="rId67" o:title=""/>
                </v:shape>
                <o:OLEObject Type="Embed" ProgID="Equation.3" ShapeID="_x0000_i1056" DrawAspect="Content" ObjectID="_1695393858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8pt;height:15pt" o:ole="" fillcolor="window">
                  <v:imagedata r:id="rId69" o:title=""/>
                </v:shape>
                <o:OLEObject Type="Embed" ProgID="Equation.3" ShapeID="_x0000_i1057" DrawAspect="Content" ObjectID="_1695393859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5.8pt;height:15pt" o:ole="" fillcolor="window">
                  <v:imagedata r:id="rId71" o:title=""/>
                </v:shape>
                <o:OLEObject Type="Embed" ProgID="Equation.3" ShapeID="_x0000_i1058" DrawAspect="Content" ObjectID="_1695393860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6pt;height:15pt" o:ole="" fillcolor="window">
                  <v:imagedata r:id="rId73" o:title=""/>
                </v:shape>
                <o:OLEObject Type="Embed" ProgID="Equation.3" ShapeID="_x0000_i1059" DrawAspect="Content" ObjectID="_1695393861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2pt;height:15pt" o:ole="" fillcolor="window">
                  <v:imagedata r:id="rId75" o:title=""/>
                </v:shape>
                <o:OLEObject Type="Embed" ProgID="Equation.3" ShapeID="_x0000_i1060" DrawAspect="Content" ObjectID="_1695393862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2pt;height:15pt" o:ole="" fillcolor="window">
                  <v:imagedata r:id="rId77" o:title=""/>
                </v:shape>
                <o:OLEObject Type="Embed" ProgID="Equation.3" ShapeID="_x0000_i1061" DrawAspect="Content" ObjectID="_1695393863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pt;height:15pt" o:ole="" fillcolor="window">
                  <v:imagedata r:id="rId79" o:title=""/>
                </v:shape>
                <o:OLEObject Type="Embed" ProgID="Equation.3" ShapeID="_x0000_i1062" DrawAspect="Content" ObjectID="_1695393864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pt" o:ole="" fillcolor="window">
                  <v:imagedata r:id="rId81" o:title=""/>
                </v:shape>
                <o:OLEObject Type="Embed" ProgID="Equation.3" ShapeID="_x0000_i1063" DrawAspect="Content" ObjectID="_1695393865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5.8pt;height:15pt" o:ole="" fillcolor="window">
                  <v:imagedata r:id="rId83" o:title=""/>
                </v:shape>
                <o:OLEObject Type="Embed" ProgID="Equation.3" ShapeID="_x0000_i1064" DrawAspect="Content" ObjectID="_1695393866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4pt;height:15pt" o:ole="" fillcolor="window">
                  <v:imagedata r:id="rId85" o:title=""/>
                </v:shape>
                <o:OLEObject Type="Embed" ProgID="Equation.3" ShapeID="_x0000_i1065" DrawAspect="Content" ObjectID="_1695393867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8pt;height:10.8pt" o:ole="" fillcolor="window">
            <v:imagedata r:id="rId87" o:title=""/>
          </v:shape>
          <o:OLEObject Type="Embed" ProgID="Equation.3" ShapeID="_x0000_i1066" DrawAspect="Content" ObjectID="_1695393868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0.8pt;height:9pt" o:ole="" fillcolor="window">
            <v:imagedata r:id="rId89" o:title=""/>
          </v:shape>
          <o:OLEObject Type="Embed" ProgID="Equation.3" ShapeID="_x0000_i1067" DrawAspect="Content" ObjectID="_1695393869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2pt;height:15pt" o:ole="" fillcolor="window">
            <v:imagedata r:id="rId91" o:title=""/>
          </v:shape>
          <o:OLEObject Type="Embed" ProgID="Equation.3" ShapeID="_x0000_i1068" DrawAspect="Content" ObjectID="_1695393870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5.8pt;height:15pt" o:ole="" fillcolor="window">
            <v:imagedata r:id="rId93" o:title=""/>
          </v:shape>
          <o:OLEObject Type="Embed" ProgID="Equation.3" ShapeID="_x0000_i1069" DrawAspect="Content" ObjectID="_1695393871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6.2pt;height:15pt" o:ole="" fillcolor="window">
            <v:imagedata r:id="rId95" o:title=""/>
          </v:shape>
          <o:OLEObject Type="Embed" ProgID="Equation.3" ShapeID="_x0000_i1070" DrawAspect="Content" ObjectID="_1695393872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8pt;height:15pt" o:ole="" fillcolor="window">
            <v:imagedata r:id="rId97" o:title=""/>
          </v:shape>
          <o:OLEObject Type="Embed" ProgID="Equation.3" ShapeID="_x0000_i1071" DrawAspect="Content" ObjectID="_1695393873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0.8pt;height:9pt" o:ole="" fillcolor="window">
            <v:imagedata r:id="rId99" o:title=""/>
          </v:shape>
          <o:OLEObject Type="Embed" ProgID="Equation.3" ShapeID="_x0000_i1072" DrawAspect="Content" ObjectID="_1695393874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pt;height:8.4pt" o:ole="" fillcolor="window">
            <v:imagedata r:id="rId101" o:title=""/>
          </v:shape>
          <o:OLEObject Type="Embed" ProgID="Equation.3" ShapeID="_x0000_i1073" DrawAspect="Content" ObjectID="_1695393875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4pt;height:15pt" o:ole="" fillcolor="window">
            <v:imagedata r:id="rId103" o:title=""/>
          </v:shape>
          <o:OLEObject Type="Embed" ProgID="Equation.3" ShapeID="_x0000_i1074" DrawAspect="Content" ObjectID="_1695393876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0.8pt;height:9pt" o:ole="" fillcolor="window">
            <v:imagedata r:id="rId99" o:title=""/>
          </v:shape>
          <o:OLEObject Type="Embed" ProgID="Equation.3" ShapeID="_x0000_i1075" DrawAspect="Content" ObjectID="_1695393877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8pt;height:10.8pt" o:ole="" fillcolor="window">
            <v:imagedata r:id="rId106" o:title=""/>
          </v:shape>
          <o:OLEObject Type="Embed" ProgID="Equation.3" ShapeID="_x0000_i1076" DrawAspect="Content" ObjectID="_1695393878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2pt;height:15pt" o:ole="" fillcolor="window">
            <v:imagedata r:id="rId108" o:title=""/>
          </v:shape>
          <o:OLEObject Type="Embed" ProgID="Equation.3" ShapeID="_x0000_i1077" DrawAspect="Content" ObjectID="_1695393879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8pt;height:10.8pt" o:ole="" fillcolor="window">
            <v:imagedata r:id="rId110" o:title=""/>
          </v:shape>
          <o:OLEObject Type="Embed" ProgID="Equation.3" ShapeID="_x0000_i1078" DrawAspect="Content" ObjectID="_1695393880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pt;height:8.4pt" o:ole="" fillcolor="window">
            <v:imagedata r:id="rId101" o:title=""/>
          </v:shape>
          <o:OLEObject Type="Embed" ProgID="Equation.3" ShapeID="_x0000_i1079" DrawAspect="Content" ObjectID="_1695393881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8pt;height:15pt" o:ole="" fillcolor="window">
            <v:imagedata r:id="rId113" o:title=""/>
          </v:shape>
          <o:OLEObject Type="Embed" ProgID="Equation.3" ShapeID="_x0000_i1080" DrawAspect="Content" ObjectID="_1695393882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t xml:space="preserve">the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8pt;height:10.8pt" o:ole="" fillcolor="window">
            <v:imagedata r:id="rId110" o:title=""/>
          </v:shape>
          <o:OLEObject Type="Embed" ProgID="Equation.3" ShapeID="_x0000_i1081" DrawAspect="Content" ObjectID="_1695393883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0.8pt;height:9pt" o:ole="" fillcolor="window">
            <v:imagedata r:id="rId116" o:title=""/>
          </v:shape>
          <o:OLEObject Type="Embed" ProgID="Equation.3" ShapeID="_x0000_i1082" DrawAspect="Content" ObjectID="_1695393884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2pt;height:15pt" o:ole="" fillcolor="window">
            <v:imagedata r:id="rId118" o:title=""/>
          </v:shape>
          <o:OLEObject Type="Embed" ProgID="Equation.3" ShapeID="_x0000_i1083" DrawAspect="Content" ObjectID="_1695393885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pt" o:ole="">
            <v:imagedata r:id="rId52" o:title=""/>
          </v:shape>
          <o:OLEObject Type="Embed" ProgID="Equation.3" ShapeID="_x0000_i1084" DrawAspect="Content" ObjectID="_1695393886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pt" o:ole="">
            <v:imagedata r:id="rId52" o:title=""/>
          </v:shape>
          <o:OLEObject Type="Embed" ProgID="Equation.3" ShapeID="_x0000_i1085" DrawAspect="Content" ObjectID="_1695393887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2pt;height:16.2pt" o:ole="" fillcolor="window">
            <v:imagedata r:id="rId122" o:title=""/>
          </v:shape>
          <o:OLEObject Type="Embed" ProgID="Equation.3" ShapeID="_x0000_i1086" DrawAspect="Content" ObjectID="_1695393888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pt;height:16.2pt" o:ole="" fillcolor="window">
            <v:imagedata r:id="rId124" o:title=""/>
          </v:shape>
          <o:OLEObject Type="Embed" ProgID="Equation.3" ShapeID="_x0000_i1087" DrawAspect="Content" ObjectID="_1695393889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4pt;height:16.2pt" o:ole="" fillcolor="window">
            <v:imagedata r:id="rId126" o:title=""/>
          </v:shape>
          <o:OLEObject Type="Embed" ProgID="Equation.3" ShapeID="_x0000_i1088" DrawAspect="Content" ObjectID="_1695393890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2pt;height:16.2pt" o:ole="" fillcolor="window">
            <v:imagedata r:id="rId128" o:title=""/>
          </v:shape>
          <o:OLEObject Type="Embed" ProgID="Equation.3" ShapeID="_x0000_i1089" DrawAspect="Content" ObjectID="_1695393891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7pt;height:15.6pt" o:ole="" fillcolor="window">
            <v:imagedata r:id="rId130" o:title=""/>
          </v:shape>
          <o:OLEObject Type="Embed" ProgID="Equation.3" ShapeID="_x0000_i1090" DrawAspect="Content" ObjectID="_1695393892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8pt;height:16.2pt" o:ole="" fillcolor="window">
            <v:imagedata r:id="rId132" o:title=""/>
          </v:shape>
          <o:OLEObject Type="Embed" ProgID="Equation.3" ShapeID="_x0000_i1091" DrawAspect="Content" ObjectID="_1695393893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2pt;height:16.2pt" o:ole="" fillcolor="window">
            <v:imagedata r:id="rId134" o:title=""/>
          </v:shape>
          <o:OLEObject Type="Embed" ProgID="Equation.3" ShapeID="_x0000_i1092" DrawAspect="Content" ObjectID="_1695393894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80pt;height:16.2pt" o:ole="" fillcolor="window">
            <v:imagedata r:id="rId136" o:title=""/>
          </v:shape>
          <o:OLEObject Type="Embed" ProgID="Equation.3" ShapeID="_x0000_i1093" DrawAspect="Content" ObjectID="_1695393895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5.8pt;height:16.2pt" o:ole="" fillcolor="window">
            <v:imagedata r:id="rId138" o:title=""/>
          </v:shape>
          <o:OLEObject Type="Embed" ProgID="Equation.3" ShapeID="_x0000_i1094" DrawAspect="Content" ObjectID="_1695393896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3pt;height:16.2pt" o:ole="" fillcolor="window">
            <v:imagedata r:id="rId140" o:title=""/>
          </v:shape>
          <o:OLEObject Type="Embed" ProgID="Equation.3" ShapeID="_x0000_i1095" DrawAspect="Content" ObjectID="_1695393897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2pt" o:ole="">
            <v:imagedata r:id="rId142" o:title=""/>
          </v:shape>
          <o:OLEObject Type="Embed" ProgID="Equation.3" ShapeID="_x0000_i1096" DrawAspect="Content" ObjectID="_1695393898" r:id="rId14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pt;height:16.2pt" o:ole="" fillcolor="window">
            <v:imagedata r:id="rId144" o:title=""/>
          </v:shape>
          <o:OLEObject Type="Embed" ProgID="Equation.3" ShapeID="_x0000_i1097" DrawAspect="Content" ObjectID="_1695393899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8pt;height:16.2pt" o:ole="" fillcolor="window">
            <v:imagedata r:id="rId146" o:title=""/>
          </v:shape>
          <o:OLEObject Type="Embed" ProgID="Equation.3" ShapeID="_x0000_i1098" DrawAspect="Content" ObjectID="_1695393900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2pt" o:ole="">
            <v:imagedata r:id="rId148" o:title=""/>
          </v:shape>
          <o:OLEObject Type="Embed" ProgID="Equation.3" ShapeID="_x0000_i1099" DrawAspect="Content" ObjectID="_1695393901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2pt;height:16.2pt" o:ole="">
            <v:imagedata r:id="rId150" o:title=""/>
          </v:shape>
          <o:OLEObject Type="Embed" ProgID="Equation.3" ShapeID="_x0000_i1100" DrawAspect="Content" ObjectID="_1695393902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2pt" o:ole="">
            <v:imagedata r:id="rId152" o:title=""/>
          </v:shape>
          <o:OLEObject Type="Embed" ProgID="Equation.3" ShapeID="_x0000_i1101" DrawAspect="Content" ObjectID="_1695393903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2.2pt;height:16.2pt" o:ole="">
            <v:imagedata r:id="rId154" o:title=""/>
          </v:shape>
          <o:OLEObject Type="Embed" ProgID="Equation.3" ShapeID="_x0000_i1102" DrawAspect="Content" ObjectID="_1695393904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5pt;height:16.2pt" o:ole="">
            <v:imagedata r:id="rId156" o:title=""/>
          </v:shape>
          <o:OLEObject Type="Embed" ProgID="Equation.3" ShapeID="_x0000_i1103" DrawAspect="Content" ObjectID="_1695393905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pt;height:16.2pt" o:ole="">
            <v:imagedata r:id="rId158" o:title=""/>
          </v:shape>
          <o:OLEObject Type="Embed" ProgID="Equation.3" ShapeID="_x0000_i1104" DrawAspect="Content" ObjectID="_1695393906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2.2pt;height:16.2pt" o:ole="">
            <v:imagedata r:id="rId160" o:title=""/>
          </v:shape>
          <o:OLEObject Type="Embed" ProgID="Equation.3" ShapeID="_x0000_i1105" DrawAspect="Content" ObjectID="_1695393907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6pt;height:15.6pt" o:ole="" fillcolor="window">
            <v:imagedata r:id="rId162" o:title=""/>
          </v:shape>
          <o:OLEObject Type="Embed" ProgID="Equation.3" ShapeID="_x0000_i1106" DrawAspect="Content" ObjectID="_1695393908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pt;height:16.2pt" o:ole="">
            <v:imagedata r:id="rId164" o:title=""/>
          </v:shape>
          <o:OLEObject Type="Embed" ProgID="Equation.3" ShapeID="_x0000_i1107" DrawAspect="Content" ObjectID="_1695393909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pt;height:16.2pt" o:ole="">
            <v:imagedata r:id="rId166" o:title=""/>
          </v:shape>
          <o:OLEObject Type="Embed" ProgID="Equation.3" ShapeID="_x0000_i1108" DrawAspect="Content" ObjectID="_1695393910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pt;height:16.2pt" o:ole="">
            <v:imagedata r:id="rId168" o:title=""/>
          </v:shape>
          <o:OLEObject Type="Embed" ProgID="Equation.3" ShapeID="_x0000_i1109" DrawAspect="Content" ObjectID="_1695393911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5.8pt;height:16.2pt" o:ole="">
            <v:imagedata r:id="rId170" o:title=""/>
          </v:shape>
          <o:OLEObject Type="Embed" ProgID="Equation.3" ShapeID="_x0000_i1110" DrawAspect="Content" ObjectID="_1695393912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2pt;height:16.2pt" o:ole="">
            <v:imagedata r:id="rId172" o:title=""/>
          </v:shape>
          <o:OLEObject Type="Embed" ProgID="Equation.3" ShapeID="_x0000_i1111" DrawAspect="Content" ObjectID="_1695393913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2pt" o:ole="">
            <v:imagedata r:id="rId174" o:title=""/>
          </v:shape>
          <o:OLEObject Type="Embed" ProgID="Equation.3" ShapeID="_x0000_i1112" DrawAspect="Content" ObjectID="_1695393914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8pt;height:16.2pt" o:ole="" fillcolor="window">
            <v:imagedata r:id="rId176" o:title=""/>
          </v:shape>
          <o:OLEObject Type="Embed" ProgID="Equation.3" ShapeID="_x0000_i1113" DrawAspect="Content" ObjectID="_1695393915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4pt;height:15.6pt" o:ole="" fillcolor="window">
            <v:imagedata r:id="rId178" o:title=""/>
          </v:shape>
          <o:OLEObject Type="Embed" ProgID="Equation.3" ShapeID="_x0000_i1114" DrawAspect="Content" ObjectID="_1695393916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2pt" o:ole="">
            <v:imagedata r:id="rId180" o:title=""/>
          </v:shape>
          <o:OLEObject Type="Embed" ProgID="Equation.3" ShapeID="_x0000_i1115" DrawAspect="Content" ObjectID="_1695393917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3pt;height:16.2pt" o:ole="" fillcolor="window">
            <v:imagedata r:id="rId182" o:title=""/>
          </v:shape>
          <o:OLEObject Type="Embed" ProgID="Equation.3" ShapeID="_x0000_i1116" DrawAspect="Content" ObjectID="_1695393918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2pt" o:ole="" fillcolor="window">
            <v:imagedata r:id="rId184" o:title=""/>
          </v:shape>
          <o:OLEObject Type="Embed" ProgID="Equation.3" ShapeID="_x0000_i1117" DrawAspect="Content" ObjectID="_1695393919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20pt;height:15pt" o:ole="" fillcolor="window">
                  <v:imagedata r:id="rId186" o:title=""/>
                </v:shape>
                <o:OLEObject Type="Embed" ProgID="Equation.3" ShapeID="_x0000_i1118" DrawAspect="Content" ObjectID="_1695393920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pt;height:14.4pt" o:ole="">
                  <v:imagedata r:id="rId188" o:title=""/>
                </v:shape>
                <o:OLEObject Type="Embed" ProgID="Equation.3" ShapeID="_x0000_i1119" DrawAspect="Content" ObjectID="_1695393921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7pt;height:15pt" o:ole="" fillcolor="window">
                  <v:imagedata r:id="rId190" o:title=""/>
                </v:shape>
                <o:OLEObject Type="Embed" ProgID="Equation.3" ShapeID="_x0000_i1120" DrawAspect="Content" ObjectID="_1695393922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7pt;height:14.4pt" o:ole="">
                  <v:imagedata r:id="rId192" o:title=""/>
                </v:shape>
                <o:OLEObject Type="Embed" ProgID="Equation.3" ShapeID="_x0000_i1121" DrawAspect="Content" ObjectID="_1695393923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2pt;height:15pt" o:ole="" fillcolor="window">
                  <v:imagedata r:id="rId194" o:title=""/>
                </v:shape>
                <o:OLEObject Type="Embed" ProgID="Equation.3" ShapeID="_x0000_i1122" DrawAspect="Content" ObjectID="_1695393924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pt;height:14.4pt" o:ole="">
                  <v:imagedata r:id="rId196" o:title=""/>
                </v:shape>
                <o:OLEObject Type="Embed" ProgID="Equation.3" ShapeID="_x0000_i1123" DrawAspect="Content" ObjectID="_1695393925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6pt;height:14.4pt" o:ole="">
                  <v:imagedata r:id="rId198" o:title=""/>
                </v:shape>
                <o:OLEObject Type="Embed" ProgID="Equation.3" ShapeID="_x0000_i1124" DrawAspect="Content" ObjectID="_1695393926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6pt;height:15pt" o:ole="" fillcolor="window">
                  <v:imagedata r:id="rId200" o:title=""/>
                </v:shape>
                <o:OLEObject Type="Embed" ProgID="Equation.3" ShapeID="_x0000_i1125" DrawAspect="Content" ObjectID="_1695393927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4pt;height:15pt" o:ole="" fillcolor="window">
            <v:imagedata r:id="rId202" o:title=""/>
          </v:shape>
          <o:OLEObject Type="Embed" ProgID="Equation.3" ShapeID="_x0000_i1126" DrawAspect="Content" ObjectID="_1695393928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4pt;height:15pt" o:ole="" fillcolor="window">
            <v:imagedata r:id="rId204" o:title=""/>
          </v:shape>
          <o:OLEObject Type="Embed" ProgID="Equation.3" ShapeID="_x0000_i1127" DrawAspect="Content" ObjectID="_1695393929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pt" o:ole="" fillcolor="window">
            <v:imagedata r:id="rId206" o:title=""/>
          </v:shape>
          <o:OLEObject Type="Embed" ProgID="Equation.3" ShapeID="_x0000_i1128" DrawAspect="Content" ObjectID="_1695393930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pt" o:ole="" fillcolor="window">
            <v:imagedata r:id="rId208" o:title=""/>
          </v:shape>
          <o:OLEObject Type="Embed" ProgID="Equation.3" ShapeID="_x0000_i1129" DrawAspect="Content" ObjectID="_1695393931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4pt;height:15pt" o:ole="" fillcolor="window">
            <v:imagedata r:id="rId210" o:title=""/>
          </v:shape>
          <o:OLEObject Type="Embed" ProgID="Equation.3" ShapeID="_x0000_i1130" DrawAspect="Content" ObjectID="_1695393932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6pt;height:15pt" o:ole="" fillcolor="window">
            <v:imagedata r:id="rId212" o:title=""/>
          </v:shape>
          <o:OLEObject Type="Embed" ProgID="Equation.3" ShapeID="_x0000_i1131" DrawAspect="Content" ObjectID="_1695393933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2pt;height:15pt" o:ole="" fillcolor="window">
            <v:imagedata r:id="rId214" o:title=""/>
          </v:shape>
          <o:OLEObject Type="Embed" ProgID="Equation.3" ShapeID="_x0000_i1132" DrawAspect="Content" ObjectID="_1695393934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4pt;height:15pt" o:ole="" fillcolor="window">
            <v:imagedata r:id="rId216" o:title=""/>
          </v:shape>
          <o:OLEObject Type="Embed" ProgID="Equation.3" ShapeID="_x0000_i1133" DrawAspect="Content" ObjectID="_1695393935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8pt;height:15pt" o:ole="" fillcolor="window">
            <v:imagedata r:id="rId218" o:title=""/>
          </v:shape>
          <o:OLEObject Type="Embed" ProgID="Equation.3" ShapeID="_x0000_i1134" DrawAspect="Content" ObjectID="_1695393936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pt;height:15pt" o:ole="" fillcolor="window">
            <v:imagedata r:id="rId220" o:title=""/>
          </v:shape>
          <o:OLEObject Type="Embed" ProgID="Equation.3" ShapeID="_x0000_i1135" DrawAspect="Content" ObjectID="_1695393937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pt;height:15pt" o:ole="" fillcolor="window">
            <v:imagedata r:id="rId222" o:title=""/>
          </v:shape>
          <o:OLEObject Type="Embed" ProgID="Equation.3" ShapeID="_x0000_i1136" DrawAspect="Content" ObjectID="_1695393938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pt;height:15pt" o:ole="" fillcolor="window">
            <v:imagedata r:id="rId224" o:title=""/>
          </v:shape>
          <o:OLEObject Type="Embed" ProgID="Equation.3" ShapeID="_x0000_i1137" DrawAspect="Content" ObjectID="_1695393939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6pt;height:15pt" o:ole="" fillcolor="window">
            <v:imagedata r:id="rId226" o:title=""/>
          </v:shape>
          <o:OLEObject Type="Embed" ProgID="Equation.3" ShapeID="_x0000_i1138" DrawAspect="Content" ObjectID="_1695393940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8pt;height:15pt" o:ole="" fillcolor="window">
            <v:imagedata r:id="rId228" o:title=""/>
          </v:shape>
          <o:OLEObject Type="Embed" ProgID="Equation.3" ShapeID="_x0000_i1139" DrawAspect="Content" ObjectID="_1695393941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4pt;height:15pt" o:ole="" fillcolor="window">
            <v:imagedata r:id="rId230" o:title=""/>
          </v:shape>
          <o:OLEObject Type="Embed" ProgID="Equation.3" ShapeID="_x0000_i1140" DrawAspect="Content" ObjectID="_1695393942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8pt;height:15pt" o:ole="">
            <v:imagedata r:id="rId232" o:title=""/>
          </v:shape>
          <o:OLEObject Type="Embed" ProgID="Equation.3" ShapeID="_x0000_i1141" DrawAspect="Content" ObjectID="_1695393943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44" w:rsidRDefault="00842344">
      <w:r>
        <w:separator/>
      </w:r>
    </w:p>
  </w:endnote>
  <w:endnote w:type="continuationSeparator" w:id="0">
    <w:p w:rsidR="00842344" w:rsidRDefault="0084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EB1723">
      <w:rPr>
        <w:rStyle w:val="PageNumber"/>
        <w:noProof/>
        <w:sz w:val="19"/>
        <w:szCs w:val="19"/>
      </w:rPr>
      <w:t>2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44" w:rsidRDefault="00842344">
      <w:r>
        <w:separator/>
      </w:r>
    </w:p>
  </w:footnote>
  <w:footnote w:type="continuationSeparator" w:id="0">
    <w:p w:rsidR="00842344" w:rsidRDefault="0084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842344"/>
    <w:rsid w:val="00A15AEC"/>
    <w:rsid w:val="00A23463"/>
    <w:rsid w:val="00D00B40"/>
    <w:rsid w:val="00DD6E05"/>
    <w:rsid w:val="00EB1723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4" ma:contentTypeDescription="Create a new document." ma:contentTypeScope="" ma:versionID="7feb08bea3aa909d016566500630529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01a82f6b989f4ac5c864eaf32f03f552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7EB17-B447-4665-98B9-0877532CB4F2}"/>
</file>

<file path=customXml/itemProps2.xml><?xml version="1.0" encoding="utf-8"?>
<ds:datastoreItem xmlns:ds="http://schemas.openxmlformats.org/officeDocument/2006/customXml" ds:itemID="{DEAF546E-F94E-44E1-9D22-FDE1CC8DE3C7}"/>
</file>

<file path=customXml/itemProps3.xml><?xml version="1.0" encoding="utf-8"?>
<ds:datastoreItem xmlns:ds="http://schemas.openxmlformats.org/officeDocument/2006/customXml" ds:itemID="{1D0F9B39-F414-4035-B832-0D132A0C7A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</vt:lpstr>
    </vt:vector>
  </TitlesOfParts>
  <Company>Microsoft Corporation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2</cp:revision>
  <cp:lastPrinted>2018-10-21T06:43:00Z</cp:lastPrinted>
  <dcterms:created xsi:type="dcterms:W3CDTF">2021-10-10T14:55:00Z</dcterms:created>
  <dcterms:modified xsi:type="dcterms:W3CDTF">2021-10-10T14:55:00Z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