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Princípios de cooptação da engenharia de software ágil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operações de desenvolvimento (DevOps) trouxeram diretrizes e um paradigma demonstrável de trabalho de engenharia bem-sucedido para o desenvolvimento de software.  Com o advento do Manifesto Ágil, profissionais experientes da indústria reconheceram as falhas na forma como o software foi desenvolvido.  Alguns de meus colegas e eu tentamos adaptar esses princípios orientadores ao campo da ciência de dados, mostrado na figura 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 esta ligeira modificação nos princípios do desenvolvimento Ágil, temos uma base de regras para aplicação do DS aos problemas de negócio.  Abordaremos todos esses tópicos, inclusive por que são importantes, e daremos exemplos de como aplicá-los para resolver problemas ao longo deste livro.  Embora alguns sejam um desvio significativo dos princípios do Agile, a aplicabilidade ao trabalho de projetos de ML forneceu padrões repetíveis de sucesso para nós e para muitos outros.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Satisfação do cliente por meio de feedback inclusivo e frequente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Criação de bases de código modificáveis para dar suporte a alterações frequentes na engenharia de recursos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Obtenha feedback com antecedência e frequência agendando demonstrações durante o desenvolvimento.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Colaboração frequente com PME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Os projetos de ML baseiam-se em avaliações quantitativas e qualitativas como medida de eficácia.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Os projetos de ML devem se concentrar em resolver um problema da maneira mais simples possível.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Os projetos de ML devem se concentrar na capacidade de manutenção em vez da complexidade.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Desenvolvimento iterativo e sustentável com demonstrações periódicas de funcionalidade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“Atenção contínua à excelência técnica e ao bom design”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Código reutilizável e padronizado em todos os projetos para minimizar bugs e maximizar a produtividade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melhores arquiteturas, requisitos e designs emergem de equipes auto-organizadas.”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melhores soluções de ML vêm de equipes que se concentram em resolver um problema acima de tudo.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equipe solicita feedback dos clientes e adapta abordagens para resolver o problema.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Não presuma nada sobre seus dados.  Sempre valide e analise.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 entanto, dois pontos críticos do desenvolvimento Ágil podem, quando aplicados ao trabalho de projeto de ML, melhorar drasticamente a forma como uma equipe de DS aborda o seu trabalho: comunicação e cooperação, abraçar e esperar mudanças.  Veremos isso a seguir.</w:t>
      </w:r>
    </w:p>
    <w:p w:rsidR="00000000" w:rsidDel="00000000" w:rsidP="00000000" w:rsidRDefault="00000000" w:rsidRPr="00000000" w14:paraId="00000017">
      <w:pPr>
        <w:rPr/>
      </w:pPr>
      <w:r w:rsidDel="00000000" w:rsidR="00000000" w:rsidRPr="00000000">
        <w:rPr/>
        <w:drawing>
          <wp:inline distB="114300" distT="114300" distL="114300" distR="114300">
            <wp:extent cx="1841269" cy="1891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1269" cy="189114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