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
        <w:jc w:val="center"/>
      </w:pPr>
      <w:r>
        <w:rPr>
          <w:b/>
          <w:bCs/>
          <w:color w:val="B6A359"/>
          <w:spacing w:val="40"/>
          <w:sz w:val="24"/>
          <w:szCs w:val="24"/>
        </w:rPr>
        <w:t xml:space="preserve">FRANCE IMMEUBLE</w:t>
      </w:r>
    </w:p>
    <w:p>
      <w:pPr>
        <w:spacing w:after="50"/>
        <w:jc w:val="center"/>
      </w:pPr>
      <w:r>
        <w:rPr>
          <w:b/>
          <w:bCs/>
          <w:color w:val="44525F"/>
          <w:sz w:val="32"/>
          <w:szCs w:val="32"/>
        </w:rPr>
        <w:t xml:space="preserve">Récupérer les workflows de Bubble</w:t>
      </w:r>
    </w:p>
    <w:p>
      <w:pPr>
        <w:pBdr>
          <w:bottom w:val="single" w:color="B6A359" w:sz="8" w:space="8"/>
        </w:pBdr>
        <w:spacing w:after="280"/>
        <w:jc w:val="center"/>
      </w:pPr>
      <w:r>
        <w:rPr>
          <w:color w:val="6C7781"/>
          <w:sz w:val="21"/>
          <w:szCs w:val="21"/>
        </w:rPr>
        <w:t xml:space="preserve">Mode d'emploi pas à pas + liste de ce dont j'ai besoin — 11 août 2026</w:t>
      </w:r>
    </w:p>
    <w:p>
      <w:pPr>
        <w:pStyle w:val="Heading1"/>
        <w:spacing w:after="130" w:before="300"/>
      </w:pPr>
      <w:r>
        <w:rPr>
          <w:color w:val="44525F"/>
        </w:rPr>
        <w:t xml:space="preserve">En résumé</w:t>
      </w:r>
    </w:p>
    <w:p>
      <w:pPr>
        <w:spacing w:after="90"/>
      </w:pPr>
      <w:r>
        <w:t xml:space="preserve">Bubble ne sait pas exporter ses workflows : ni l'API de données, ni l'API Workflow ne les exposent (cette dernière ne montre que les 4 formulaires publics du site). La seule méthode est la capture d'écran — mais il existe un raccourci qui évite de tout parcourir.</w:t>
      </w:r>
    </w:p>
    <w:p>
      <w:pPr>
        <w:spacing w:after="90"/>
      </w:pPr>
      <w:r>
        <w:rPr>
          <w:b/>
          <w:bCs/>
        </w:rPr>
        <w:t xml:space="preserve">Bonne nouvelle : j'ai déjà récupéré automatiquement les expéditeurs et les modèles d'e-mails depuis la base (Bubble archive chaque envoi). Il ne reste donc à capturer que les déclencheurs, les conditions et les réglages d'envoi.</w:t>
      </w:r>
    </w:p>
    <w:p>
      <w:pPr>
        <w:pStyle w:val="Heading1"/>
        <w:spacing w:after="130" w:before="300"/>
      </w:pPr>
      <w:r>
        <w:rPr>
          <w:color w:val="44525F"/>
        </w:rPr>
        <w:t xml:space="preserve">1. Ce que j'ai déjà — inutile de le chercher</w:t>
      </w:r>
    </w:p>
    <w:p>
      <w:pPr>
        <w:pStyle w:val="Heading2"/>
        <w:spacing w:after="90" w:before="220"/>
      </w:pPr>
      <w:r>
        <w:rPr>
          <w:color w:val="B6A359"/>
        </w:rPr>
        <w:t xml:space="preserve">Les adresses d'envoi, action par action</w:t>
      </w:r>
    </w:p>
    <w:p>
      <w:pPr>
        <w:spacing w:after="90"/>
      </w:pPr>
      <w:r>
        <w:t xml:space="preserve">Règle constatée sur 657 e-mails d'estimation et 12 937 propositions : l'e-mail part toujours au nom de l'agent qui suit le dossier, avec son adresse nominative en réponse.</w:t>
      </w:r>
    </w:p>
    <w:p>
      <w:pPr>
        <w:pStyle w:val="ListParagraph"/>
        <w:numPr>
          <w:ilvl w:val="0"/>
          <w:numId w:val="2"/>
        </w:numPr>
        <w:spacing w:after="55"/>
      </w:pPr>
      <w:r>
        <w:t xml:space="preserve">Marc-Antoine VOCI — ma.voci@france-immeuble.fr — « M.VOCI - France Immeuble » (462 estimations, 7 335 propositions)</w:t>
      </w:r>
    </w:p>
    <w:p>
      <w:pPr>
        <w:pStyle w:val="ListParagraph"/>
        <w:numPr>
          <w:ilvl w:val="0"/>
          <w:numId w:val="2"/>
        </w:numPr>
        <w:spacing w:after="55"/>
      </w:pPr>
      <w:r>
        <w:t xml:space="preserve">François DUGAST — f.dugast@france-immeuble.fr (48 / 2 316)</w:t>
      </w:r>
    </w:p>
    <w:p>
      <w:pPr>
        <w:pStyle w:val="ListParagraph"/>
        <w:numPr>
          <w:ilvl w:val="0"/>
          <w:numId w:val="2"/>
        </w:numPr>
        <w:spacing w:after="55"/>
      </w:pPr>
      <w:r>
        <w:t xml:space="preserve">Sophie JAQUET — s.jaquet@france-immeuble.fr (102 / 1 715)</w:t>
      </w:r>
    </w:p>
    <w:p>
      <w:pPr>
        <w:pStyle w:val="ListParagraph"/>
        <w:numPr>
          <w:ilvl w:val="0"/>
          <w:numId w:val="2"/>
        </w:numPr>
        <w:spacing w:after="55"/>
      </w:pPr>
      <w:r>
        <w:t xml:space="preserve">Romain VOCI — r.voci@france-immeuble.fr (10 / 1 423)</w:t>
      </w:r>
    </w:p>
    <w:p>
      <w:pPr>
        <w:pStyle w:val="ListParagraph"/>
        <w:numPr>
          <w:ilvl w:val="0"/>
          <w:numId w:val="2"/>
        </w:numPr>
        <w:spacing w:after="55"/>
      </w:pPr>
      <w:r>
        <w:t xml:space="preserve">Guillaume ASTESANA — g.astesana@france-immeuble.fr (28 / 148)</w:t>
      </w:r>
    </w:p>
    <w:p>
      <w:pPr>
        <w:pStyle w:val="ListParagraph"/>
        <w:numPr>
          <w:ilvl w:val="0"/>
          <w:numId w:val="2"/>
        </w:numPr>
        <w:spacing w:after="55"/>
      </w:pPr>
      <w:r>
        <w:t xml:space="preserve">Younes OUSSERHIR, François-Xavier FIESCHI-PAUWELS, Quentin BONNEMAISON — même logique, volumes résiduels</w:t>
      </w:r>
    </w:p>
    <w:p>
      <w:pPr>
        <w:spacing w:after="90"/>
      </w:pPr>
      <w:r>
        <w:t xml:space="preserve">La copie du mandat (mail_copie) n'est renseignée que 2 fois sur 233 : c'est une copie saisie à la main au cas par cas, pas une règle automatique.</w:t>
      </w:r>
    </w:p>
    <w:p>
      <w:pPr>
        <w:pStyle w:val="Heading2"/>
        <w:spacing w:after="90" w:before="220"/>
      </w:pPr>
      <w:r>
        <w:rPr>
          <w:color w:val="B6A359"/>
        </w:rPr>
        <w:t xml:space="preserve">Les modèles d'e-mails</w:t>
      </w:r>
    </w:p>
    <w:p>
      <w:pPr>
        <w:spacing w:after="90"/>
      </w:pPr>
      <w:r>
        <w:t xml:space="preserve">Récupérés au mot près : l'e-mail d'estimation (avec la signature de l'agent en BBCode) et l'e-mail de proposition aux acquéreurs (avec le lien de téléchargement du dossier). Ils sont consignés dans le dépôt, fichier docs/EMAILS-ET-WORKFLOWS.md.</w:t>
      </w:r>
    </w:p>
    <w:p>
      <w:pPr>
        <w:spacing w:after="90"/>
      </w:pPr>
      <w:r>
        <w:rPr>
          <w:b/>
          <w:bCs/>
        </w:rPr>
        <w:t xml:space="preserve">Ce que la base ne dit pas, et que j'attends de toi : l'adresse technique d'expédition (le « from » réel, ex. un domaine SendGrid) et les conditions de déclenchement.</w:t>
      </w:r>
    </w:p>
    <w:p>
      <w:pPr>
        <w:pStyle w:val="Heading1"/>
        <w:spacing w:after="130" w:before="300"/>
      </w:pPr>
      <w:r>
        <w:rPr>
          <w:color w:val="44525F"/>
        </w:rPr>
        <w:t xml:space="preserve">2. La méthode rapide (≈ 20 minutes)</w:t>
      </w:r>
    </w:p>
    <w:p>
      <w:pPr>
        <w:pStyle w:val="Heading2"/>
        <w:spacing w:after="90" w:before="220"/>
      </w:pPr>
      <w:r>
        <w:rPr>
          <w:color w:val="B6A359"/>
        </w:rPr>
        <w:t xml:space="preserve">2.1 Le raccourci : la recherche globale de l'éditeur</w:t>
      </w:r>
    </w:p>
    <w:p>
      <w:pPr>
        <w:pStyle w:val="ListParagraph"/>
        <w:numPr>
          <w:ilvl w:val="0"/>
          <w:numId w:val="3"/>
        </w:numPr>
        <w:spacing w:after="60"/>
      </w:pPr>
      <w:r>
        <w:t xml:space="preserve">Ouvre l'éditeur Bubble de l'app « moteurfi ».</w:t>
      </w:r>
    </w:p>
    <w:p>
      <w:pPr>
        <w:pStyle w:val="ListParagraph"/>
        <w:numPr>
          <w:ilvl w:val="0"/>
          <w:numId w:val="3"/>
        </w:numPr>
        <w:spacing w:after="60"/>
      </w:pPr>
      <w:r>
        <w:t xml:space="preserve">Clique sur l'icône loupe dans la barre d'outils de gauche (ou Ctrl/Cmd + F depuis l'éditeur) : c'est la recherche dans toute l'application.</w:t>
      </w:r>
    </w:p>
    <w:p>
      <w:pPr>
        <w:pStyle w:val="ListParagraph"/>
        <w:numPr>
          <w:ilvl w:val="0"/>
          <w:numId w:val="3"/>
        </w:numPr>
        <w:spacing w:after="60"/>
      </w:pPr>
      <w:r>
        <w:t xml:space="preserve">Cherche « Send email ».</w:t>
      </w:r>
    </w:p>
    <w:p>
      <w:pPr>
        <w:pStyle w:val="ListParagraph"/>
        <w:numPr>
          <w:ilvl w:val="0"/>
          <w:numId w:val="3"/>
        </w:numPr>
        <w:spacing w:after="60"/>
      </w:pPr>
      <w:r>
        <w:t xml:space="preserve">Bubble liste TOUS les endroits de l'app qui envoient un e-mail : page + nom du workflow + numéro d'étape.</w:t>
      </w:r>
    </w:p>
    <w:p>
      <w:pPr>
        <w:pStyle w:val="ListParagraph"/>
        <w:numPr>
          <w:ilvl w:val="0"/>
          <w:numId w:val="3"/>
        </w:numPr>
        <w:spacing w:after="60"/>
      </w:pPr>
      <w:r>
        <w:t xml:space="preserve">Fais une capture de cette liste. C'est la capture la plus utile de toutes : elle me donne la cartographie complète des envois.</w:t>
      </w:r>
    </w:p>
    <w:p>
      <w:pPr>
        <w:pStyle w:val="ListParagraph"/>
        <w:numPr>
          <w:ilvl w:val="0"/>
          <w:numId w:val="3"/>
        </w:numPr>
        <w:spacing w:after="60"/>
      </w:pPr>
      <w:r>
        <w:t xml:space="preserve">Puis clique sur chaque résultat : Bubble ouvre le workflow au bon endroit, et le panneau de droite affiche From, To, Reply-to, Subject et le corps. Capture ce panneau.</w:t>
      </w:r>
    </w:p>
    <w:p>
      <w:pPr>
        <w:spacing w:after="90"/>
      </w:pPr>
      <w:r>
        <w:t xml:space="preserve">Refais la même recherche avec « Schedule API workflow » (les envois en masse passent presque toujours par là), puis « Make changes to » si tu veux aussi les changements de statut.</w:t>
      </w:r>
    </w:p>
    <w:p>
      <w:pPr>
        <w:pStyle w:val="Heading2"/>
        <w:spacing w:after="90" w:before="220"/>
      </w:pPr>
      <w:r>
        <w:rPr>
          <w:color w:val="B6A359"/>
        </w:rPr>
        <w:t xml:space="preserve">2.2 Les workflows d'une page (si tu veux être exhaustif)</w:t>
      </w:r>
    </w:p>
    <w:p>
      <w:pPr>
        <w:pStyle w:val="ListParagraph"/>
        <w:numPr>
          <w:ilvl w:val="0"/>
          <w:numId w:val="3"/>
        </w:numPr>
        <w:spacing w:after="60"/>
      </w:pPr>
      <w:r>
        <w:t xml:space="preserve">En haut à gauche de l'éditeur, le menu déroulant du nom de la page : choisis la page (dashboard, immeuble, estimation, mandat…).</w:t>
      </w:r>
    </w:p>
    <w:p>
      <w:pPr>
        <w:pStyle w:val="ListParagraph"/>
        <w:numPr>
          <w:ilvl w:val="0"/>
          <w:numId w:val="3"/>
        </w:numPr>
        <w:spacing w:after="60"/>
      </w:pPr>
      <w:r>
        <w:t xml:space="preserve">Barre d'outils de gauche, onglet Workflow (icône éclair).</w:t>
      </w:r>
    </w:p>
    <w:p>
      <w:pPr>
        <w:pStyle w:val="ListParagraph"/>
        <w:numPr>
          <w:ilvl w:val="0"/>
          <w:numId w:val="3"/>
        </w:numPr>
        <w:spacing w:after="60"/>
      </w:pPr>
      <w:r>
        <w:t xml:space="preserve">Le canevas affiche les workflows de la page les uns sous les autres ; s'il y a des dossiers, un menu « Folder » permet de filtrer.</w:t>
      </w:r>
    </w:p>
    <w:p>
      <w:pPr>
        <w:pStyle w:val="ListParagraph"/>
        <w:numPr>
          <w:ilvl w:val="0"/>
          <w:numId w:val="3"/>
        </w:numPr>
        <w:spacing w:after="60"/>
      </w:pPr>
      <w:r>
        <w:t xml:space="preserve">Dézoome (Ctrl/Cmd + molette) pour faire tenir un workflow entier dans une capture.</w:t>
      </w:r>
    </w:p>
    <w:p>
      <w:pPr>
        <w:pStyle w:val="ListParagraph"/>
        <w:numPr>
          <w:ilvl w:val="0"/>
          <w:numId w:val="3"/>
        </w:numPr>
        <w:spacing w:after="60"/>
      </w:pPr>
      <w:r>
        <w:t xml:space="preserve">Pour le détail d'une étape, clique dessus : le panneau de propriétés s'ouvre à droite.</w:t>
      </w:r>
    </w:p>
    <w:p>
      <w:pPr>
        <w:spacing w:after="90"/>
      </w:pPr>
      <w:r>
        <w:rPr>
          <w:b/>
          <w:bCs/>
        </w:rPr>
        <w:t xml:space="preserve">Les workflows automatiques ne sont PAS dans les pages : dans le même sélecteur de page, tout en bas, choisis « Backend workflows » (parfois nommé API Workflows). C'est là que se trouvent les API workflows (les boucles d'envoi en masse), les Recurring events (le quotidien) et les Database triggers.</w:t>
      </w:r>
    </w:p>
    <w:p>
      <w:pPr>
        <w:pStyle w:val="Heading2"/>
        <w:spacing w:after="90" w:before="220"/>
      </w:pPr>
      <w:r>
        <w:rPr>
          <w:color w:val="B6A359"/>
        </w:rPr>
        <w:t xml:space="preserve">2.3 Les réglages d'envoi — 2 captures, 2 minutes</w:t>
      </w:r>
    </w:p>
    <w:p>
      <w:pPr>
        <w:pStyle w:val="ListParagraph"/>
        <w:numPr>
          <w:ilvl w:val="0"/>
          <w:numId w:val="2"/>
        </w:numPr>
        <w:spacing w:after="55"/>
      </w:pPr>
      <w:r>
        <w:t xml:space="preserve">Settings → Domain / email, onglet « Email settings » : adresse et nom d'expéditeur par défaut, adresse de réponse, domaine personnalisé.</w:t>
      </w:r>
    </w:p>
    <w:p>
      <w:pPr>
        <w:pStyle w:val="ListParagraph"/>
        <w:numPr>
          <w:ilvl w:val="0"/>
          <w:numId w:val="2"/>
        </w:numPr>
        <w:spacing w:after="55"/>
      </w:pPr>
      <w:r>
        <w:t xml:space="preserve">Plugins : si SendGrid, Postmark ou un SMTP est installé, ouvre-le et capture (masque la clé API, je n'en ai pas besoin).</w:t>
      </w:r>
    </w:p>
    <w:p>
      <w:pPr>
        <w:pStyle w:val="Heading2"/>
        <w:spacing w:after="90" w:before="220"/>
      </w:pPr>
      <w:r>
        <w:rPr>
          <w:color w:val="B6A359"/>
        </w:rPr>
        <w:t xml:space="preserve">2.4 Bonus : savoir ce qui tourne vraiment</w:t>
      </w:r>
    </w:p>
    <w:p>
      <w:pPr>
        <w:spacing w:after="90"/>
      </w:pPr>
      <w:r>
        <w:t xml:space="preserve">Logs → Server logs, filtre sur « Workflow » : tu vois les workflows réellement exécutés ces derniers jours. Pratique pour distinguer ce qui est vivant de ce qui traîne depuis des années.</w:t>
      </w:r>
    </w:p>
    <w:p>
      <w:pPr>
        <w:pStyle w:val="Heading1"/>
        <w:spacing w:after="130" w:before="300"/>
      </w:pPr>
      <w:r>
        <w:rPr>
          <w:color w:val="44525F"/>
        </w:rPr>
        <w:t xml:space="preserve">3. Ma liste de courses, par priorité</w:t>
      </w:r>
    </w:p>
    <w:p>
      <w:pPr>
        <w:spacing w:after="90"/>
      </w:pPr>
      <w:r>
        <w:t xml:space="preserve">Si tu ne fais que les six premières lignes, j'ai de quoi avancer plusieurs jours.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3560"/>
        <w:gridCol w:w="1200"/>
      </w:tblGrid>
      <w:tr>
        <w:tc>
          <w:tcPr>
            <w:tcW w:type="dxa" w:w="700"/>
            <w:shd w:fill="F0EDE3" w:val="clear"/>
            <w:tcMar>
              <w:top w:type="dxa" w:w="60"/>
              <w:left w:type="dxa" w:w="90"/>
              <w:bottom w:type="dxa" w:w="60"/>
              <w:right w:type="dxa" w:w="90"/>
            </w:tcMar>
          </w:tcPr>
          <w:p>
            <w:r>
              <w:rPr>
                <w:b/>
                <w:bCs/>
                <w:sz w:val="19"/>
                <w:szCs w:val="19"/>
              </w:rPr>
              <w:t xml:space="preserve">#</w:t>
            </w:r>
          </w:p>
        </w:tc>
        <w:tc>
          <w:tcPr>
            <w:tcW w:type="dxa" w:w="3900"/>
            <w:shd w:fill="F0EDE3" w:val="clear"/>
            <w:tcMar>
              <w:top w:type="dxa" w:w="60"/>
              <w:left w:type="dxa" w:w="90"/>
              <w:bottom w:type="dxa" w:w="60"/>
              <w:right w:type="dxa" w:w="90"/>
            </w:tcMar>
          </w:tcPr>
          <w:p>
            <w:r>
              <w:rPr>
                <w:b/>
                <w:bCs/>
                <w:sz w:val="19"/>
                <w:szCs w:val="19"/>
              </w:rPr>
              <w:t xml:space="preserve">Workflow à capturer</w:t>
            </w:r>
          </w:p>
        </w:tc>
        <w:tc>
          <w:tcPr>
            <w:tcW w:type="dxa" w:w="3560"/>
            <w:shd w:fill="F0EDE3" w:val="clear"/>
            <w:tcMar>
              <w:top w:type="dxa" w:w="60"/>
              <w:left w:type="dxa" w:w="90"/>
              <w:bottom w:type="dxa" w:w="60"/>
              <w:right w:type="dxa" w:w="90"/>
            </w:tcMar>
          </w:tcPr>
          <w:p>
            <w:r>
              <w:rPr>
                <w:b/>
                <w:bCs/>
                <w:sz w:val="19"/>
                <w:szCs w:val="19"/>
              </w:rPr>
              <w:t xml:space="preserve">Pourquoi j'en ai besoin</w:t>
            </w:r>
          </w:p>
        </w:tc>
        <w:tc>
          <w:tcPr>
            <w:tcW w:type="dxa" w:w="1200"/>
            <w:shd w:fill="F0EDE3" w:val="clear"/>
            <w:tcMar>
              <w:top w:type="dxa" w:w="60"/>
              <w:left w:type="dxa" w:w="90"/>
              <w:bottom w:type="dxa" w:w="60"/>
              <w:right w:type="dxa" w:w="90"/>
            </w:tcMar>
          </w:tcPr>
          <w:p>
            <w:r>
              <w:rPr>
                <w:b/>
                <w:bCs/>
                <w:sz w:val="19"/>
                <w:szCs w:val="19"/>
              </w:rPr>
              <w:t xml:space="preserve">Priorité</w:t>
            </w:r>
          </w:p>
        </w:tc>
      </w:tr>
      <w:tr>
        <w:tc>
          <w:tcPr>
            <w:tcW w:type="dxa" w:w="700"/>
            <w:tcMar>
              <w:top w:type="dxa" w:w="60"/>
              <w:left w:type="dxa" w:w="90"/>
              <w:bottom w:type="dxa" w:w="60"/>
              <w:right w:type="dxa" w:w="90"/>
            </w:tcMar>
          </w:tcPr>
          <w:p>
            <w:r>
              <w:rPr>
                <w:sz w:val="19"/>
                <w:szCs w:val="19"/>
              </w:rPr>
              <w:t xml:space="preserve">1</w:t>
            </w:r>
          </w:p>
        </w:tc>
        <w:tc>
          <w:tcPr>
            <w:tcW w:type="dxa" w:w="3900"/>
            <w:tcMar>
              <w:top w:type="dxa" w:w="60"/>
              <w:left w:type="dxa" w:w="90"/>
              <w:bottom w:type="dxa" w:w="60"/>
              <w:right w:type="dxa" w:w="90"/>
            </w:tcMar>
          </w:tcPr>
          <w:p>
            <w:r>
              <w:rPr>
                <w:sz w:val="19"/>
                <w:szCs w:val="19"/>
              </w:rPr>
              <w:t xml:space="preserve">Commercialiser / envoi des propositions en masse (+ l'API workflow qui boucle sur les acquéreurs)</w:t>
            </w:r>
          </w:p>
        </w:tc>
        <w:tc>
          <w:tcPr>
            <w:tcW w:type="dxa" w:w="3560"/>
            <w:tcMar>
              <w:top w:type="dxa" w:w="60"/>
              <w:left w:type="dxa" w:w="90"/>
              <w:bottom w:type="dxa" w:w="60"/>
              <w:right w:type="dxa" w:w="90"/>
            </w:tcMar>
          </w:tcPr>
          <w:p>
            <w:r>
              <w:rPr>
                <w:sz w:val="19"/>
                <w:szCs w:val="19"/>
              </w:rPr>
              <w:t xml:space="preserve">Le gros morceau restant ; confirmer les critères de matching que tu m'as décrits</w:t>
            </w:r>
          </w:p>
        </w:tc>
        <w:tc>
          <w:tcPr>
            <w:tcW w:type="dxa" w:w="1200"/>
            <w:tcMar>
              <w:top w:type="dxa" w:w="60"/>
              <w:left w:type="dxa" w:w="90"/>
              <w:bottom w:type="dxa" w:w="60"/>
              <w:right w:type="dxa" w:w="90"/>
            </w:tcMar>
          </w:tcPr>
          <w:p>
            <w:r>
              <w:rPr>
                <w:sz w:val="19"/>
                <w:szCs w:val="19"/>
              </w:rPr>
              <w:t xml:space="preserve">Haute</w:t>
            </w:r>
          </w:p>
        </w:tc>
      </w:tr>
      <w:tr>
        <w:tc>
          <w:tcPr>
            <w:tcW w:type="dxa" w:w="700"/>
            <w:tcMar>
              <w:top w:type="dxa" w:w="60"/>
              <w:left w:type="dxa" w:w="90"/>
              <w:bottom w:type="dxa" w:w="60"/>
              <w:right w:type="dxa" w:w="90"/>
            </w:tcMar>
          </w:tcPr>
          <w:p>
            <w:r>
              <w:rPr>
                <w:sz w:val="19"/>
                <w:szCs w:val="19"/>
              </w:rPr>
              <w:t xml:space="preserve">2</w:t>
            </w:r>
          </w:p>
        </w:tc>
        <w:tc>
          <w:tcPr>
            <w:tcW w:type="dxa" w:w="3900"/>
            <w:tcMar>
              <w:top w:type="dxa" w:w="60"/>
              <w:left w:type="dxa" w:w="90"/>
              <w:bottom w:type="dxa" w:w="60"/>
              <w:right w:type="dxa" w:w="90"/>
            </w:tcMar>
          </w:tcPr>
          <w:p>
            <w:r>
              <w:rPr>
                <w:sz w:val="19"/>
                <w:szCs w:val="19"/>
              </w:rPr>
              <w:t xml:space="preserve">Relance des propositions</w:t>
            </w:r>
          </w:p>
        </w:tc>
        <w:tc>
          <w:tcPr>
            <w:tcW w:type="dxa" w:w="3560"/>
            <w:tcMar>
              <w:top w:type="dxa" w:w="60"/>
              <w:left w:type="dxa" w:w="90"/>
              <w:bottom w:type="dxa" w:w="60"/>
              <w:right w:type="dxa" w:w="90"/>
            </w:tcMar>
          </w:tcPr>
          <w:p>
            <w:r>
              <w:rPr>
                <w:sz w:val="19"/>
                <w:szCs w:val="19"/>
              </w:rPr>
              <w:t xml:space="preserve">Délai entre relances et conditions d'arrêt (stop_relances_yn)</w:t>
            </w:r>
          </w:p>
        </w:tc>
        <w:tc>
          <w:tcPr>
            <w:tcW w:type="dxa" w:w="1200"/>
            <w:tcMar>
              <w:top w:type="dxa" w:w="60"/>
              <w:left w:type="dxa" w:w="90"/>
              <w:bottom w:type="dxa" w:w="60"/>
              <w:right w:type="dxa" w:w="90"/>
            </w:tcMar>
          </w:tcPr>
          <w:p>
            <w:r>
              <w:rPr>
                <w:sz w:val="19"/>
                <w:szCs w:val="19"/>
              </w:rPr>
              <w:t xml:space="preserve">Haute</w:t>
            </w:r>
          </w:p>
        </w:tc>
      </w:tr>
      <w:tr>
        <w:tc>
          <w:tcPr>
            <w:tcW w:type="dxa" w:w="700"/>
            <w:tcMar>
              <w:top w:type="dxa" w:w="60"/>
              <w:left w:type="dxa" w:w="90"/>
              <w:bottom w:type="dxa" w:w="60"/>
              <w:right w:type="dxa" w:w="90"/>
            </w:tcMar>
          </w:tcPr>
          <w:p>
            <w:r>
              <w:rPr>
                <w:sz w:val="19"/>
                <w:szCs w:val="19"/>
              </w:rPr>
              <w:t xml:space="preserve">3</w:t>
            </w:r>
          </w:p>
        </w:tc>
        <w:tc>
          <w:tcPr>
            <w:tcW w:type="dxa" w:w="3900"/>
            <w:tcMar>
              <w:top w:type="dxa" w:w="60"/>
              <w:left w:type="dxa" w:w="90"/>
              <w:bottom w:type="dxa" w:w="60"/>
              <w:right w:type="dxa" w:w="90"/>
            </w:tcMar>
          </w:tcPr>
          <w:p>
            <w:r>
              <w:rPr>
                <w:sz w:val="19"/>
                <w:szCs w:val="19"/>
              </w:rPr>
              <w:t xml:space="preserve">Envoi de l'estimation</w:t>
            </w:r>
          </w:p>
        </w:tc>
        <w:tc>
          <w:tcPr>
            <w:tcW w:type="dxa" w:w="3560"/>
            <w:tcMar>
              <w:top w:type="dxa" w:w="60"/>
              <w:left w:type="dxa" w:w="90"/>
              <w:bottom w:type="dxa" w:w="60"/>
              <w:right w:type="dxa" w:w="90"/>
            </w:tcMar>
          </w:tcPr>
          <w:p>
            <w:r>
              <w:rPr>
                <w:sz w:val="19"/>
                <w:szCs w:val="19"/>
              </w:rPr>
              <w:t xml:space="preserve">J'ai le modèle ; il me manque le déclencheur et l'adresse technique</w:t>
            </w:r>
          </w:p>
        </w:tc>
        <w:tc>
          <w:tcPr>
            <w:tcW w:type="dxa" w:w="1200"/>
            <w:tcMar>
              <w:top w:type="dxa" w:w="60"/>
              <w:left w:type="dxa" w:w="90"/>
              <w:bottom w:type="dxa" w:w="60"/>
              <w:right w:type="dxa" w:w="90"/>
            </w:tcMar>
          </w:tcPr>
          <w:p>
            <w:r>
              <w:rPr>
                <w:sz w:val="19"/>
                <w:szCs w:val="19"/>
              </w:rPr>
              <w:t xml:space="preserve">Haute</w:t>
            </w:r>
          </w:p>
        </w:tc>
      </w:tr>
      <w:tr>
        <w:tc>
          <w:tcPr>
            <w:tcW w:type="dxa" w:w="700"/>
            <w:tcMar>
              <w:top w:type="dxa" w:w="60"/>
              <w:left w:type="dxa" w:w="90"/>
              <w:bottom w:type="dxa" w:w="60"/>
              <w:right w:type="dxa" w:w="90"/>
            </w:tcMar>
          </w:tcPr>
          <w:p>
            <w:r>
              <w:rPr>
                <w:sz w:val="19"/>
                <w:szCs w:val="19"/>
              </w:rPr>
              <w:t xml:space="preserve">4</w:t>
            </w:r>
          </w:p>
        </w:tc>
        <w:tc>
          <w:tcPr>
            <w:tcW w:type="dxa" w:w="3900"/>
            <w:tcMar>
              <w:top w:type="dxa" w:w="60"/>
              <w:left w:type="dxa" w:w="90"/>
              <w:bottom w:type="dxa" w:w="60"/>
              <w:right w:type="dxa" w:w="90"/>
            </w:tcMar>
          </w:tcPr>
          <w:p>
            <w:r>
              <w:rPr>
                <w:sz w:val="19"/>
                <w:szCs w:val="19"/>
              </w:rPr>
              <w:t xml:space="preserve">Settings → Domain/email + plugin d'envoi</w:t>
            </w:r>
          </w:p>
        </w:tc>
        <w:tc>
          <w:tcPr>
            <w:tcW w:type="dxa" w:w="3560"/>
            <w:tcMar>
              <w:top w:type="dxa" w:w="60"/>
              <w:left w:type="dxa" w:w="90"/>
              <w:bottom w:type="dxa" w:w="60"/>
              <w:right w:type="dxa" w:w="90"/>
            </w:tcMar>
          </w:tcPr>
          <w:p>
            <w:r>
              <w:rPr>
                <w:sz w:val="19"/>
                <w:szCs w:val="19"/>
              </w:rPr>
              <w:t xml:space="preserve">L'adresse d'expédition réelle de tous les envois</w:t>
            </w:r>
          </w:p>
        </w:tc>
        <w:tc>
          <w:tcPr>
            <w:tcW w:type="dxa" w:w="1200"/>
            <w:tcMar>
              <w:top w:type="dxa" w:w="60"/>
              <w:left w:type="dxa" w:w="90"/>
              <w:bottom w:type="dxa" w:w="60"/>
              <w:right w:type="dxa" w:w="90"/>
            </w:tcMar>
          </w:tcPr>
          <w:p>
            <w:r>
              <w:rPr>
                <w:sz w:val="19"/>
                <w:szCs w:val="19"/>
              </w:rPr>
              <w:t xml:space="preserve">Haute</w:t>
            </w:r>
          </w:p>
        </w:tc>
      </w:tr>
      <w:tr>
        <w:tc>
          <w:tcPr>
            <w:tcW w:type="dxa" w:w="700"/>
            <w:tcMar>
              <w:top w:type="dxa" w:w="60"/>
              <w:left w:type="dxa" w:w="90"/>
              <w:bottom w:type="dxa" w:w="60"/>
              <w:right w:type="dxa" w:w="90"/>
            </w:tcMar>
          </w:tcPr>
          <w:p>
            <w:r>
              <w:rPr>
                <w:sz w:val="19"/>
                <w:szCs w:val="19"/>
              </w:rPr>
              <w:t xml:space="preserve">5</w:t>
            </w:r>
          </w:p>
        </w:tc>
        <w:tc>
          <w:tcPr>
            <w:tcW w:type="dxa" w:w="3900"/>
            <w:tcMar>
              <w:top w:type="dxa" w:w="60"/>
              <w:left w:type="dxa" w:w="90"/>
              <w:bottom w:type="dxa" w:w="60"/>
              <w:right w:type="dxa" w:w="90"/>
            </w:tcMar>
          </w:tcPr>
          <w:p>
            <w:r>
              <w:rPr>
                <w:sz w:val="19"/>
                <w:szCs w:val="19"/>
              </w:rPr>
              <w:t xml:space="preserve">Envoi du mandat et retour de signature</w:t>
            </w:r>
          </w:p>
        </w:tc>
        <w:tc>
          <w:tcPr>
            <w:tcW w:type="dxa" w:w="3560"/>
            <w:tcMar>
              <w:top w:type="dxa" w:w="60"/>
              <w:left w:type="dxa" w:w="90"/>
              <w:bottom w:type="dxa" w:w="60"/>
              <w:right w:type="dxa" w:w="90"/>
            </w:tcMar>
          </w:tcPr>
          <w:p>
            <w:r>
              <w:rPr>
                <w:sz w:val="19"/>
                <w:szCs w:val="19"/>
              </w:rPr>
              <w:t xml:space="preserve">Qui reçoit la copie, comment le PDF signé revient (rex_*)</w:t>
            </w:r>
          </w:p>
        </w:tc>
        <w:tc>
          <w:tcPr>
            <w:tcW w:type="dxa" w:w="1200"/>
            <w:tcMar>
              <w:top w:type="dxa" w:w="60"/>
              <w:left w:type="dxa" w:w="90"/>
              <w:bottom w:type="dxa" w:w="60"/>
              <w:right w:type="dxa" w:w="90"/>
            </w:tcMar>
          </w:tcPr>
          <w:p>
            <w:r>
              <w:rPr>
                <w:sz w:val="19"/>
                <w:szCs w:val="19"/>
              </w:rPr>
              <w:t xml:space="preserve">Moyenne</w:t>
            </w:r>
          </w:p>
        </w:tc>
      </w:tr>
      <w:tr>
        <w:tc>
          <w:tcPr>
            <w:tcW w:type="dxa" w:w="700"/>
            <w:tcMar>
              <w:top w:type="dxa" w:w="60"/>
              <w:left w:type="dxa" w:w="90"/>
              <w:bottom w:type="dxa" w:w="60"/>
              <w:right w:type="dxa" w:w="90"/>
            </w:tcMar>
          </w:tcPr>
          <w:p>
            <w:r>
              <w:rPr>
                <w:sz w:val="19"/>
                <w:szCs w:val="19"/>
              </w:rPr>
              <w:t xml:space="preserve">6</w:t>
            </w:r>
          </w:p>
        </w:tc>
        <w:tc>
          <w:tcPr>
            <w:tcW w:type="dxa" w:w="3900"/>
            <w:tcMar>
              <w:top w:type="dxa" w:w="60"/>
              <w:left w:type="dxa" w:w="90"/>
              <w:bottom w:type="dxa" w:w="60"/>
              <w:right w:type="dxa" w:w="90"/>
            </w:tcMar>
          </w:tcPr>
          <w:p>
            <w:r>
              <w:rPr>
                <w:sz w:val="19"/>
                <w:szCs w:val="19"/>
              </w:rPr>
              <w:t xml:space="preserve">Recurring event quotidien (champ daily_wf_running sur les agents)</w:t>
            </w:r>
          </w:p>
        </w:tc>
        <w:tc>
          <w:tcPr>
            <w:tcW w:type="dxa" w:w="3560"/>
            <w:tcMar>
              <w:top w:type="dxa" w:w="60"/>
              <w:left w:type="dxa" w:w="90"/>
              <w:bottom w:type="dxa" w:w="60"/>
              <w:right w:type="dxa" w:w="90"/>
            </w:tcMar>
          </w:tcPr>
          <w:p>
            <w:r>
              <w:rPr>
                <w:sz w:val="19"/>
                <w:szCs w:val="19"/>
              </w:rPr>
              <w:t xml:space="preserve">Ce qui tourne tout seul chaque jour</w:t>
            </w:r>
          </w:p>
        </w:tc>
        <w:tc>
          <w:tcPr>
            <w:tcW w:type="dxa" w:w="1200"/>
            <w:tcMar>
              <w:top w:type="dxa" w:w="60"/>
              <w:left w:type="dxa" w:w="90"/>
              <w:bottom w:type="dxa" w:w="60"/>
              <w:right w:type="dxa" w:w="90"/>
            </w:tcMar>
          </w:tcPr>
          <w:p>
            <w:r>
              <w:rPr>
                <w:sz w:val="19"/>
                <w:szCs w:val="19"/>
              </w:rPr>
              <w:t xml:space="preserve">Moyenne</w:t>
            </w:r>
          </w:p>
        </w:tc>
      </w:tr>
      <w:tr>
        <w:tc>
          <w:tcPr>
            <w:tcW w:type="dxa" w:w="700"/>
            <w:tcMar>
              <w:top w:type="dxa" w:w="60"/>
              <w:left w:type="dxa" w:w="90"/>
              <w:bottom w:type="dxa" w:w="60"/>
              <w:right w:type="dxa" w:w="90"/>
            </w:tcMar>
          </w:tcPr>
          <w:p>
            <w:r>
              <w:rPr>
                <w:sz w:val="19"/>
                <w:szCs w:val="19"/>
              </w:rPr>
              <w:t xml:space="preserve">7</w:t>
            </w:r>
          </w:p>
        </w:tc>
        <w:tc>
          <w:tcPr>
            <w:tcW w:type="dxa" w:w="3900"/>
            <w:tcMar>
              <w:top w:type="dxa" w:w="60"/>
              <w:left w:type="dxa" w:w="90"/>
              <w:bottom w:type="dxa" w:w="60"/>
              <w:right w:type="dxa" w:w="90"/>
            </w:tcMar>
          </w:tcPr>
          <w:p>
            <w:r>
              <w:rPr>
                <w:sz w:val="19"/>
                <w:szCs w:val="19"/>
              </w:rPr>
              <w:t xml:space="preserve">Formulaires du site → création d'immeuble</w:t>
            </w:r>
          </w:p>
        </w:tc>
        <w:tc>
          <w:tcPr>
            <w:tcW w:type="dxa" w:w="3560"/>
            <w:tcMar>
              <w:top w:type="dxa" w:w="60"/>
              <w:left w:type="dxa" w:w="90"/>
              <w:bottom w:type="dxa" w:w="60"/>
              <w:right w:type="dxa" w:w="90"/>
            </w:tcMar>
          </w:tcPr>
          <w:p>
            <w:r>
              <w:rPr>
                <w:sz w:val="19"/>
                <w:szCs w:val="19"/>
              </w:rPr>
              <w:t xml:space="preserve">Attribution de l'agent, statut initial, e-mail de confirmation</w:t>
            </w:r>
          </w:p>
        </w:tc>
        <w:tc>
          <w:tcPr>
            <w:tcW w:type="dxa" w:w="1200"/>
            <w:tcMar>
              <w:top w:type="dxa" w:w="60"/>
              <w:left w:type="dxa" w:w="90"/>
              <w:bottom w:type="dxa" w:w="60"/>
              <w:right w:type="dxa" w:w="90"/>
            </w:tcMar>
          </w:tcPr>
          <w:p>
            <w:r>
              <w:rPr>
                <w:sz w:val="19"/>
                <w:szCs w:val="19"/>
              </w:rPr>
              <w:t xml:space="preserve">Moyenne</w:t>
            </w:r>
          </w:p>
        </w:tc>
      </w:tr>
      <w:tr>
        <w:tc>
          <w:tcPr>
            <w:tcW w:type="dxa" w:w="700"/>
            <w:tcMar>
              <w:top w:type="dxa" w:w="60"/>
              <w:left w:type="dxa" w:w="90"/>
              <w:bottom w:type="dxa" w:w="60"/>
              <w:right w:type="dxa" w:w="90"/>
            </w:tcMar>
          </w:tcPr>
          <w:p>
            <w:r>
              <w:rPr>
                <w:sz w:val="19"/>
                <w:szCs w:val="19"/>
              </w:rPr>
              <w:t xml:space="preserve">8</w:t>
            </w:r>
          </w:p>
        </w:tc>
        <w:tc>
          <w:tcPr>
            <w:tcW w:type="dxa" w:w="3900"/>
            <w:tcMar>
              <w:top w:type="dxa" w:w="60"/>
              <w:left w:type="dxa" w:w="90"/>
              <w:bottom w:type="dxa" w:w="60"/>
              <w:right w:type="dxa" w:w="90"/>
            </w:tcMar>
          </w:tcPr>
          <w:p>
            <w:r>
              <w:rPr>
                <w:sz w:val="19"/>
                <w:szCs w:val="19"/>
              </w:rPr>
              <w:t xml:space="preserve">Génération du dossier et lien de téléchargement</w:t>
            </w:r>
          </w:p>
        </w:tc>
        <w:tc>
          <w:tcPr>
            <w:tcW w:type="dxa" w:w="3560"/>
            <w:tcMar>
              <w:top w:type="dxa" w:w="60"/>
              <w:left w:type="dxa" w:w="90"/>
              <w:bottom w:type="dxa" w:w="60"/>
              <w:right w:type="dxa" w:w="90"/>
            </w:tcMar>
          </w:tcPr>
          <w:p>
            <w:r>
              <w:rPr>
                <w:sz w:val="19"/>
                <w:szCs w:val="19"/>
              </w:rPr>
              <w:t xml:space="preserve">Le lien du dossier inséré dans l'e-mail de proposition</w:t>
            </w:r>
          </w:p>
        </w:tc>
        <w:tc>
          <w:tcPr>
            <w:tcW w:type="dxa" w:w="1200"/>
            <w:tcMar>
              <w:top w:type="dxa" w:w="60"/>
              <w:left w:type="dxa" w:w="90"/>
              <w:bottom w:type="dxa" w:w="60"/>
              <w:right w:type="dxa" w:w="90"/>
            </w:tcMar>
          </w:tcPr>
          <w:p>
            <w:r>
              <w:rPr>
                <w:sz w:val="19"/>
                <w:szCs w:val="19"/>
              </w:rPr>
              <w:t xml:space="preserve">Moyenne</w:t>
            </w:r>
          </w:p>
        </w:tc>
      </w:tr>
      <w:tr>
        <w:tc>
          <w:tcPr>
            <w:tcW w:type="dxa" w:w="700"/>
            <w:tcMar>
              <w:top w:type="dxa" w:w="60"/>
              <w:left w:type="dxa" w:w="90"/>
              <w:bottom w:type="dxa" w:w="60"/>
              <w:right w:type="dxa" w:w="90"/>
            </w:tcMar>
          </w:tcPr>
          <w:p>
            <w:r>
              <w:rPr>
                <w:sz w:val="19"/>
                <w:szCs w:val="19"/>
              </w:rPr>
              <w:t xml:space="preserve">9</w:t>
            </w:r>
          </w:p>
        </w:tc>
        <w:tc>
          <w:tcPr>
            <w:tcW w:type="dxa" w:w="3900"/>
            <w:tcMar>
              <w:top w:type="dxa" w:w="60"/>
              <w:left w:type="dxa" w:w="90"/>
              <w:bottom w:type="dxa" w:w="60"/>
              <w:right w:type="dxa" w:w="90"/>
            </w:tcMar>
          </w:tcPr>
          <w:p>
            <w:r>
              <w:rPr>
                <w:sz w:val="19"/>
                <w:szCs w:val="19"/>
              </w:rPr>
              <w:t xml:space="preserve">Passage « En attente » / Réactivation</w:t>
            </w:r>
          </w:p>
        </w:tc>
        <w:tc>
          <w:tcPr>
            <w:tcW w:type="dxa" w:w="3560"/>
            <w:tcMar>
              <w:top w:type="dxa" w:w="60"/>
              <w:left w:type="dxa" w:w="90"/>
              <w:bottom w:type="dxa" w:w="60"/>
              <w:right w:type="dxa" w:w="90"/>
            </w:tcMar>
          </w:tcPr>
          <w:p>
            <w:r>
              <w:rPr>
                <w:sz w:val="19"/>
                <w:szCs w:val="19"/>
              </w:rPr>
              <w:t xml:space="preserve">Vérifier ce que le BO écrit exactement</w:t>
            </w:r>
          </w:p>
        </w:tc>
        <w:tc>
          <w:tcPr>
            <w:tcW w:type="dxa" w:w="1200"/>
            <w:tcMar>
              <w:top w:type="dxa" w:w="60"/>
              <w:left w:type="dxa" w:w="90"/>
              <w:bottom w:type="dxa" w:w="60"/>
              <w:right w:type="dxa" w:w="90"/>
            </w:tcMar>
          </w:tcPr>
          <w:p>
            <w:r>
              <w:rPr>
                <w:sz w:val="19"/>
                <w:szCs w:val="19"/>
              </w:rPr>
              <w:t xml:space="preserve">Basse</w:t>
            </w:r>
          </w:p>
        </w:tc>
      </w:tr>
      <w:tr>
        <w:tc>
          <w:tcPr>
            <w:tcW w:type="dxa" w:w="700"/>
            <w:tcMar>
              <w:top w:type="dxa" w:w="60"/>
              <w:left w:type="dxa" w:w="90"/>
              <w:bottom w:type="dxa" w:w="60"/>
              <w:right w:type="dxa" w:w="90"/>
            </w:tcMar>
          </w:tcPr>
          <w:p>
            <w:r>
              <w:rPr>
                <w:sz w:val="19"/>
                <w:szCs w:val="19"/>
              </w:rPr>
              <w:t xml:space="preserve">10</w:t>
            </w:r>
          </w:p>
        </w:tc>
        <w:tc>
          <w:tcPr>
            <w:tcW w:type="dxa" w:w="3900"/>
            <w:tcMar>
              <w:top w:type="dxa" w:w="60"/>
              <w:left w:type="dxa" w:w="90"/>
              <w:bottom w:type="dxa" w:w="60"/>
              <w:right w:type="dxa" w:w="90"/>
            </w:tcMar>
          </w:tcPr>
          <w:p>
            <w:r>
              <w:rPr>
                <w:sz w:val="19"/>
                <w:szCs w:val="19"/>
              </w:rPr>
              <w:t xml:space="preserve">Attribution du numéro de mandat</w:t>
            </w:r>
          </w:p>
        </w:tc>
        <w:tc>
          <w:tcPr>
            <w:tcW w:type="dxa" w:w="3560"/>
            <w:tcMar>
              <w:top w:type="dxa" w:w="60"/>
              <w:left w:type="dxa" w:w="90"/>
              <w:bottom w:type="dxa" w:w="60"/>
              <w:right w:type="dxa" w:w="90"/>
            </w:tcMar>
          </w:tcPr>
          <w:p>
            <w:r>
              <w:rPr>
                <w:sz w:val="19"/>
                <w:szCs w:val="19"/>
              </w:rPr>
              <w:t xml:space="preserve">Confirmer que ma séquence verrouillée correspond</w:t>
            </w:r>
          </w:p>
        </w:tc>
        <w:tc>
          <w:tcPr>
            <w:tcW w:type="dxa" w:w="1200"/>
            <w:tcMar>
              <w:top w:type="dxa" w:w="60"/>
              <w:left w:type="dxa" w:w="90"/>
              <w:bottom w:type="dxa" w:w="60"/>
              <w:right w:type="dxa" w:w="90"/>
            </w:tcMar>
          </w:tcPr>
          <w:p>
            <w:r>
              <w:rPr>
                <w:sz w:val="19"/>
                <w:szCs w:val="19"/>
              </w:rPr>
              <w:t xml:space="preserve">Basse</w:t>
            </w:r>
          </w:p>
        </w:tc>
      </w:tr>
      <w:tr>
        <w:tc>
          <w:tcPr>
            <w:tcW w:type="dxa" w:w="700"/>
            <w:tcMar>
              <w:top w:type="dxa" w:w="60"/>
              <w:left w:type="dxa" w:w="90"/>
              <w:bottom w:type="dxa" w:w="60"/>
              <w:right w:type="dxa" w:w="90"/>
            </w:tcMar>
          </w:tcPr>
          <w:p>
            <w:r>
              <w:rPr>
                <w:sz w:val="19"/>
                <w:szCs w:val="19"/>
              </w:rPr>
              <w:t xml:space="preserve">11</w:t>
            </w:r>
          </w:p>
        </w:tc>
        <w:tc>
          <w:tcPr>
            <w:tcW w:type="dxa" w:w="3900"/>
            <w:tcMar>
              <w:top w:type="dxa" w:w="60"/>
              <w:left w:type="dxa" w:w="90"/>
              <w:bottom w:type="dxa" w:w="60"/>
              <w:right w:type="dxa" w:w="90"/>
            </w:tcMar>
          </w:tcPr>
          <w:p>
            <w:r>
              <w:rPr>
                <w:sz w:val="19"/>
                <w:szCs w:val="19"/>
              </w:rPr>
              <w:t xml:space="preserve">Archivage d'un immeuble</w:t>
            </w:r>
          </w:p>
        </w:tc>
        <w:tc>
          <w:tcPr>
            <w:tcW w:type="dxa" w:w="3560"/>
            <w:tcMar>
              <w:top w:type="dxa" w:w="60"/>
              <w:left w:type="dxa" w:w="90"/>
              <w:bottom w:type="dxa" w:w="60"/>
              <w:right w:type="dxa" w:w="90"/>
            </w:tcMar>
          </w:tcPr>
          <w:p>
            <w:r>
              <w:rPr>
                <w:sz w:val="19"/>
                <w:szCs w:val="19"/>
              </w:rPr>
              <w:t xml:space="preserve">Effets de bord sur propositions, mandats, alertes</w:t>
            </w:r>
          </w:p>
        </w:tc>
        <w:tc>
          <w:tcPr>
            <w:tcW w:type="dxa" w:w="1200"/>
            <w:tcMar>
              <w:top w:type="dxa" w:w="60"/>
              <w:left w:type="dxa" w:w="90"/>
              <w:bottom w:type="dxa" w:w="60"/>
              <w:right w:type="dxa" w:w="90"/>
            </w:tcMar>
          </w:tcPr>
          <w:p>
            <w:r>
              <w:rPr>
                <w:sz w:val="19"/>
                <w:szCs w:val="19"/>
              </w:rPr>
              <w:t xml:space="preserve">Basse</w:t>
            </w:r>
          </w:p>
        </w:tc>
      </w:tr>
      <w:tr>
        <w:tc>
          <w:tcPr>
            <w:tcW w:type="dxa" w:w="700"/>
            <w:tcMar>
              <w:top w:type="dxa" w:w="60"/>
              <w:left w:type="dxa" w:w="90"/>
              <w:bottom w:type="dxa" w:w="60"/>
              <w:right w:type="dxa" w:w="90"/>
            </w:tcMar>
          </w:tcPr>
          <w:p>
            <w:r>
              <w:rPr>
                <w:sz w:val="19"/>
                <w:szCs w:val="19"/>
              </w:rPr>
              <w:t xml:space="preserve">12</w:t>
            </w:r>
          </w:p>
        </w:tc>
        <w:tc>
          <w:tcPr>
            <w:tcW w:type="dxa" w:w="3900"/>
            <w:tcMar>
              <w:top w:type="dxa" w:w="60"/>
              <w:left w:type="dxa" w:w="90"/>
              <w:bottom w:type="dxa" w:w="60"/>
              <w:right w:type="dxa" w:w="90"/>
            </w:tcMar>
          </w:tcPr>
          <w:p>
            <w:r>
              <w:rPr>
                <w:sz w:val="19"/>
                <w:szCs w:val="19"/>
              </w:rPr>
              <w:t xml:space="preserve">Alertes acquéreurs (Formulaire Alerte)</w:t>
            </w:r>
          </w:p>
        </w:tc>
        <w:tc>
          <w:tcPr>
            <w:tcW w:type="dxa" w:w="3560"/>
            <w:tcMar>
              <w:top w:type="dxa" w:w="60"/>
              <w:left w:type="dxa" w:w="90"/>
              <w:bottom w:type="dxa" w:w="60"/>
              <w:right w:type="dxa" w:w="90"/>
            </w:tcMar>
          </w:tcPr>
          <w:p>
            <w:r>
              <w:rPr>
                <w:sz w:val="19"/>
                <w:szCs w:val="19"/>
              </w:rPr>
              <w:t xml:space="preserve">Envoi automatique sur nouveaux biens</w:t>
            </w:r>
          </w:p>
        </w:tc>
        <w:tc>
          <w:tcPr>
            <w:tcW w:type="dxa" w:w="1200"/>
            <w:tcMar>
              <w:top w:type="dxa" w:w="60"/>
              <w:left w:type="dxa" w:w="90"/>
              <w:bottom w:type="dxa" w:w="60"/>
              <w:right w:type="dxa" w:w="90"/>
            </w:tcMar>
          </w:tcPr>
          <w:p>
            <w:r>
              <w:rPr>
                <w:sz w:val="19"/>
                <w:szCs w:val="19"/>
              </w:rPr>
              <w:t xml:space="preserve">Basse</w:t>
            </w:r>
          </w:p>
        </w:tc>
      </w:tr>
    </w:tbl>
    <w:p>
      <w:pPr>
        <w:spacing w:after="90"/>
      </w:pPr>
      <w:r>
        <w:t xml:space="preserve"/>
      </w:r>
    </w:p>
    <w:p>
      <w:pPr>
        <w:spacing w:after="90"/>
      </w:pPr>
      <w:r>
        <w:rPr>
          <w:i/>
          <w:iCs/>
        </w:rPr>
        <w:t xml:space="preserve">Format : des captures d'écran suffisent, pas besoin de recopier quoi que ce soit. Tu peux me les déposer sur le Drive, ou les coller directement dans le mode Revue de l'application (Ctrl/Cmd + V dans la fiche de retour). Si un workflow est long, plusieurs captures qui se chevauchent, c'est parfait.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00"/>
      </w:pPr>
    </w:lvl>
  </w:abstractNum>
  <w:abstractNum w:abstractNumId="3" w15:restartNumberingAfterBreak="0">
    <w:multiLevelType w:val="hybridMultilevel"/>
    <w:lvl w:ilvl="0" w15:tentative="1">
      <w:start w:val="1"/>
      <w:numFmt w:val="bullet"/>
      <w:lvlText w:val="•"/>
      <w:lvlJc w:val="left"/>
      <w:pPr>
        <w:ind w:left="3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2026-08-11T12:37:30.558Z</dcterms:created>
  <dcterms:modified xsi:type="dcterms:W3CDTF">2026-08-11T12:37:30.585Z</dcterms:modified>
</cp:coreProperties>
</file>

<file path=docProps/custom.xml><?xml version="1.0" encoding="utf-8"?>
<Properties xmlns="http://schemas.openxmlformats.org/officeDocument/2006/custom-properties" xmlns:vt="http://schemas.openxmlformats.org/officeDocument/2006/docPropsVTypes"/>
</file>