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B6A359"/>
          <w:spacing w:val="40"/>
          <w:sz w:val="26"/>
          <w:szCs w:val="26"/>
        </w:rPr>
        <w:t xml:space="preserve">FRANCE IMMEUBLE</w:t>
      </w:r>
    </w:p>
    <w:p>
      <w:pPr>
        <w:spacing w:after="60"/>
        <w:jc w:val="center"/>
      </w:pPr>
      <w:r>
        <w:rPr>
          <w:b/>
          <w:bCs/>
          <w:color w:val="44525F"/>
          <w:sz w:val="34"/>
          <w:szCs w:val="34"/>
        </w:rPr>
        <w:t xml:space="preserve">Refonte du back-office — Bilan de la session du 11 août 2026</w:t>
      </w:r>
    </w:p>
    <w:p>
      <w:pPr>
        <w:pBdr>
          <w:bottom w:val="single" w:color="B6A359" w:sz="8" w:space="8"/>
        </w:pBdr>
        <w:spacing w:after="300"/>
        <w:jc w:val="center"/>
      </w:pPr>
      <w:r>
        <w:rPr>
          <w:color w:val="6C7781"/>
          <w:sz w:val="22"/>
          <w:szCs w:val="22"/>
        </w:rPr>
        <w:t xml:space="preserve">Session de travail autonome (~3 h) — réplique fidèle du BO Bubble sur Next.js + Supabase</w:t>
      </w:r>
    </w:p>
    <w:p>
      <w:pPr>
        <w:pStyle w:val="Heading1"/>
        <w:spacing w:after="140" w:before="320"/>
      </w:pPr>
      <w:r>
        <w:rPr>
          <w:color w:val="44525F"/>
        </w:rPr>
        <w:t xml:space="preserve">1. Résumé</w:t>
      </w:r>
    </w:p>
    <w:p>
      <w:pPr>
        <w:spacing w:after="100"/>
      </w:pPr>
      <w:r>
        <w:t xml:space="preserve">En une session, le parcours complet du bien est devenu utilisable dans le nouveau BO : de la création de l'immeuble jusqu'à l'offre acceptée et le compromis, en passant par l'estimation, le mandat (avec registre numéroté) et le dossier de commercialisation. Toutes les vues listes de la barre latérale sont branchées sur les données réelles, la recherche globale fonctionne, et les photos/documents s'uploadent dans un stockage privé.</w:t>
      </w:r>
    </w:p>
    <w:p>
      <w:pPr>
        <w:spacing w:after="100"/>
      </w:pPr>
      <w:r>
        <w:t xml:space="preserve">Chaque bloc a été testé de bout en bout (navigateur automatisé + vérification SQL des écritures) sur un immeuble jetable, puis purgé. 12 commits ont été poussés sur la branche claude/refonte-bo-france-immeuble-c7uqp9, chacun avec un build vert.</w:t>
      </w:r>
    </w:p>
    <w:p>
      <w:pPr>
        <w:spacing w:after="100"/>
      </w:pPr>
      <w:r>
        <w:t xml:space="preserve">Rappel d'architecture : Bubble reste la source en lecture seule (synchronisation automatique toutes les heures) ; toutes les écritures du nouveau BO vont dans le projet Supabase dédié « france-immeuble-bo », indépendant de Plein Bail. Rien n'est jamais écrit dans Bubble.</w:t>
      </w:r>
    </w:p>
    <w:p>
      <w:pPr>
        <w:pStyle w:val="Heading1"/>
        <w:spacing w:after="140" w:before="320"/>
      </w:pPr>
      <w:r>
        <w:rPr>
          <w:color w:val="44525F"/>
        </w:rPr>
        <w:t xml:space="preserve">2. Ce qui est fait (état au 11/08/2026)</w:t>
      </w:r>
    </w:p>
    <w:p>
      <w:pPr>
        <w:pStyle w:val="Heading2"/>
        <w:spacing w:after="100" w:before="240"/>
      </w:pPr>
      <w:r>
        <w:rPr>
          <w:color w:val="B6A359"/>
        </w:rPr>
        <w:t xml:space="preserve">2.1 Dashboard (sessions précédentes, rappel)</w:t>
      </w:r>
    </w:p>
    <w:p>
      <w:pPr>
        <w:pStyle w:val="ListParagraph"/>
        <w:numPr>
          <w:ilvl w:val="0"/>
          <w:numId w:val="2"/>
        </w:numPr>
        <w:spacing w:after="60"/>
      </w:pPr>
      <w:r>
        <w:rPr>
          <w:b w:val="false"/>
          <w:bCs w:val="false"/>
        </w:rPr>
        <w:t xml:space="preserve">Réplique pixel du dashboard : 3 blocs PROSPECTS / COMMERCIALISATIONS / VENTES, colonnes par statut, cartes fidèles (vignette, contact, frise « en attente », prix, honoraires k€, compteurs propositions/visites/offres).</w:t>
      </w:r>
    </w:p>
    <w:p>
      <w:pPr>
        <w:pStyle w:val="ListParagraph"/>
        <w:numPr>
          <w:ilvl w:val="0"/>
          <w:numId w:val="2"/>
        </w:numPr>
        <w:spacing w:after="60"/>
      </w:pPr>
      <w:r>
        <w:rPr>
          <w:b w:val="false"/>
          <w:bCs w:val="false"/>
        </w:rPr>
        <w:t xml:space="preserve">Navigation entre agents (sélecteur orange) — compteurs validés contre le BO réel (Romain : 5/15/16).</w:t>
      </w:r>
    </w:p>
    <w:p>
      <w:pPr>
        <w:pStyle w:val="ListParagraph"/>
        <w:numPr>
          <w:ilvl w:val="0"/>
          <w:numId w:val="2"/>
        </w:numPr>
        <w:spacing w:after="60"/>
      </w:pPr>
      <w:r>
        <w:rPr>
          <w:b w:val="false"/>
          <w:bCs w:val="false"/>
        </w:rPr>
        <w:t xml:space="preserve">Boutons d'action des cartes : › Contacté, › Estimer, › OK pour vendre, Réactiver, › Programmer le compromis — écrivent dans Supabase.</w:t>
      </w:r>
    </w:p>
    <w:p>
      <w:pPr>
        <w:pStyle w:val="Heading2"/>
        <w:spacing w:after="100" w:before="240"/>
      </w:pPr>
      <w:r>
        <w:rPr>
          <w:color w:val="B6A359"/>
        </w:rPr>
        <w:t xml:space="preserve">2.2 Fiche Bien — toutes les sections actives</w:t>
      </w:r>
    </w:p>
    <w:p>
      <w:pPr>
        <w:pStyle w:val="ListParagraph"/>
        <w:numPr>
          <w:ilvl w:val="0"/>
          <w:numId w:val="2"/>
        </w:numPr>
        <w:spacing w:after="60"/>
      </w:pPr>
      <w:r>
        <w:rPr>
          <w:b w:val="false"/>
          <w:bCs w:val="false"/>
        </w:rPr>
        <w:t xml:space="preserve">Suivi : historique des échanges, ajout de suivi (canal, notes, mise en attente avec motif + date de relance), réactivation.</w:t>
      </w:r>
    </w:p>
    <w:p>
      <w:pPr>
        <w:pStyle w:val="ListParagraph"/>
        <w:numPr>
          <w:ilvl w:val="0"/>
          <w:numId w:val="2"/>
        </w:numPr>
        <w:spacing w:after="60"/>
      </w:pPr>
      <w:r>
        <w:rPr>
          <w:b w:val="false"/>
          <w:bCs w:val="false"/>
        </w:rPr>
        <w:t xml:space="preserve">Propriétaire : profil relié à la fiche contact, autres biens du même propriétaire.</w:t>
      </w:r>
    </w:p>
    <w:p>
      <w:pPr>
        <w:pStyle w:val="ListParagraph"/>
        <w:numPr>
          <w:ilvl w:val="0"/>
          <w:numId w:val="2"/>
        </w:numPr>
        <w:spacing w:after="60"/>
      </w:pPr>
      <w:r>
        <w:rPr>
          <w:b w:val="false"/>
          <w:bCs w:val="false"/>
        </w:rPr>
        <w:t xml:space="preserve">Emplacement : 3 sous-onglets — Adresse (points d'intérêt + liens Google/INSEE/LOCservice + data externe saisie), Parcelles et PLU (parcelles cadastrales, zone/hauteur/emprise), Prix du secteur (tableau Secteur/Actuel/Potentiel avec écarts %, modales de saisie par destination, valeurs globales pondérées par surface).</w:t>
      </w:r>
    </w:p>
    <w:p>
      <w:pPr>
        <w:pStyle w:val="ListParagraph"/>
        <w:numPr>
          <w:ilvl w:val="0"/>
          <w:numId w:val="2"/>
        </w:numPr>
        <w:spacing w:after="60"/>
      </w:pPr>
      <w:r>
        <w:rPr>
          <w:b w:val="false"/>
          <w:bCs w:val="false"/>
        </w:rPr>
        <w:t xml:space="preserve">État locatif : 4 sous-onglets — Lots (tableau éditable : ajouter, modifier, dupliquer, supprimer avec corbeille de récupération ; agrégats recalculés en base), Baux (compteurs actifs/impayés/expulsions/préavis, indice IRL avec loyer révisé calculé), Locataires (personnes physiques/morales), Charges (taxes vs charges, récupérable/non récupérable, totaux).</w:t>
      </w:r>
    </w:p>
    <w:p>
      <w:pPr>
        <w:pStyle w:val="ListParagraph"/>
        <w:numPr>
          <w:ilvl w:val="0"/>
          <w:numId w:val="2"/>
        </w:numPr>
        <w:spacing w:after="60"/>
      </w:pPr>
      <w:r>
        <w:rPr>
          <w:b w:val="false"/>
          <w:bCs w:val="false"/>
        </w:rPr>
        <w:t xml:space="preserve">État technique : année + état général, composants (14 types, matériaux dépendants), travaux par urgence (sur lots ou sur bâti), total recalculé.</w:t>
      </w:r>
    </w:p>
    <w:p>
      <w:pPr>
        <w:pStyle w:val="ListParagraph"/>
        <w:numPr>
          <w:ilvl w:val="0"/>
          <w:numId w:val="2"/>
        </w:numPr>
        <w:spacing w:after="60"/>
      </w:pPr>
      <w:r>
        <w:rPr>
          <w:b w:val="false"/>
          <w:bCs w:val="false"/>
        </w:rPr>
        <w:t xml:space="preserve">Description et prix : prix net vendeur + honoraires → HAI, descriptif.</w:t>
      </w:r>
    </w:p>
    <w:p>
      <w:pPr>
        <w:pStyle w:val="ListParagraph"/>
        <w:numPr>
          <w:ilvl w:val="0"/>
          <w:numId w:val="2"/>
        </w:numPr>
        <w:spacing w:after="60"/>
      </w:pPr>
      <w:r>
        <w:rPr>
          <w:b w:val="false"/>
          <w:bCs w:val="false"/>
        </w:rPr>
        <w:t xml:space="preserve">Photos : upload avec type (Extérieur / Parties communes / Lot), compteurs par type, suppression.</w:t>
      </w:r>
    </w:p>
    <w:p>
      <w:pPr>
        <w:pStyle w:val="ListParagraph"/>
        <w:numPr>
          <w:ilvl w:val="0"/>
          <w:numId w:val="2"/>
        </w:numPr>
        <w:spacing w:after="60"/>
      </w:pPr>
      <w:r>
        <w:rPr>
          <w:b w:val="false"/>
          <w:bCs w:val="false"/>
        </w:rPr>
        <w:t xml:space="preserve">Tous les documents : coffre documentaire privé (upload, libellé, ouverture, suppression récupérable).</w:t>
      </w:r>
    </w:p>
    <w:p>
      <w:pPr>
        <w:pStyle w:val="ListParagraph"/>
        <w:numPr>
          <w:ilvl w:val="0"/>
          <w:numId w:val="2"/>
        </w:numPr>
        <w:spacing w:after="60"/>
      </w:pPr>
      <w:r>
        <w:rPr>
          <w:b w:val="false"/>
          <w:bCs w:val="false"/>
        </w:rPr>
        <w:t xml:space="preserve">Notes : mémo libre (références comparables incluses).</w:t>
      </w:r>
    </w:p>
    <w:p>
      <w:pPr>
        <w:pStyle w:val="ListParagraph"/>
        <w:numPr>
          <w:ilvl w:val="0"/>
          <w:numId w:val="2"/>
        </w:numPr>
        <w:spacing w:after="60"/>
      </w:pPr>
      <w:r>
        <w:rPr>
          <w:b w:val="false"/>
          <w:bCs w:val="false"/>
        </w:rPr>
        <w:t xml:space="preserve">Acheteurs : programmer une visite (REX, annulation), saisir une offre (net vendeur + honoraires HT = HAI) et la faire vivre : Acceptée → Compromis programmé → Compromis signé → Vendu, refus motivé.</w:t>
      </w:r>
    </w:p>
    <w:p>
      <w:pPr>
        <w:pStyle w:val="Heading2"/>
        <w:spacing w:after="100" w:before="240"/>
      </w:pPr>
      <w:r>
        <w:rPr>
          <w:color w:val="B6A359"/>
        </w:rPr>
        <w:t xml:space="preserve">2.3 Wizard « Nouvelle estimation » (6 étapes)</w:t>
      </w:r>
    </w:p>
    <w:p>
      <w:pPr>
        <w:pStyle w:val="ListParagraph"/>
        <w:numPr>
          <w:ilvl w:val="0"/>
          <w:numId w:val="2"/>
        </w:numPr>
        <w:spacing w:after="60"/>
      </w:pPr>
      <w:r>
        <w:rPr>
          <w:b w:val="false"/>
          <w:bCs w:val="false"/>
        </w:rPr>
        <w:t xml:space="preserve">Immeuble → Secteur → Prix → Analyse → PDF → Envoi, comme dans le BO.</w:t>
      </w:r>
    </w:p>
    <w:p>
      <w:pPr>
        <w:pStyle w:val="ListParagraph"/>
        <w:numPr>
          <w:ilvl w:val="0"/>
          <w:numId w:val="2"/>
        </w:numPr>
        <w:spacing w:after="60"/>
      </w:pPr>
      <w:r>
        <w:rPr>
          <w:b w:val="false"/>
          <w:bCs w:val="false"/>
        </w:rPr>
        <w:t xml:space="preserve">Secteur prérempli depuis le relevé « Prix du secteur » ; 4 méthodes de prix (rendement, rendement max, prix au m², prix au m² + travaux) + prix automatique (moyenne).</w:t>
      </w:r>
    </w:p>
    <w:p>
      <w:pPr>
        <w:pStyle w:val="ListParagraph"/>
        <w:numPr>
          <w:ilvl w:val="0"/>
          <w:numId w:val="2"/>
        </w:numPr>
        <w:spacing w:after="60"/>
      </w:pPr>
      <w:r>
        <w:rPr>
          <w:b w:val="false"/>
          <w:bCs w:val="false"/>
        </w:rPr>
        <w:t xml:space="preserve">Comparateur actuel/potentiel : loyer et prix au m² vs secteur, rendements brut / net / acte en main (formules vérifiées sur les données réelles du BO).</w:t>
      </w:r>
    </w:p>
    <w:p>
      <w:pPr>
        <w:pStyle w:val="ListParagraph"/>
        <w:numPr>
          <w:ilvl w:val="0"/>
          <w:numId w:val="2"/>
        </w:numPr>
        <w:spacing w:after="60"/>
      </w:pPr>
      <w:r>
        <w:rPr>
          <w:b w:val="false"/>
          <w:bCs w:val="false"/>
        </w:rPr>
        <w:t xml:space="preserve">Génération figée : estimation + objet de calcul + prix reporté sur la fiche + trace « Estimation (x €) » dans l'historique ; version imprimable (→ PDF navigateur) ; e-mail préparé mais envoi manuel (validation humaine) ; statuts Envoyée / Interne.</w:t>
      </w:r>
    </w:p>
    <w:p>
      <w:pPr>
        <w:pStyle w:val="Heading2"/>
        <w:spacing w:after="100" w:before="240"/>
      </w:pPr>
      <w:r>
        <w:rPr>
          <w:color w:val="B6A359"/>
        </w:rPr>
        <w:t xml:space="preserve">2.4 Mandats — registre conforme</w:t>
      </w:r>
    </w:p>
    <w:p>
      <w:pPr>
        <w:pStyle w:val="ListParagraph"/>
        <w:numPr>
          <w:ilvl w:val="0"/>
          <w:numId w:val="2"/>
        </w:numPr>
        <w:spacing w:after="60"/>
      </w:pPr>
      <w:r>
        <w:rPr>
          <w:b w:val="false"/>
          <w:bCs w:val="false"/>
        </w:rPr>
        <w:t xml:space="preserve">Création depuis la fiche (mandant prérempli depuis le propriétaire), fiche mandat à onglets : Mandants, Objet, Prix (charge honoraires + rappel doctrine préemption), Conditions (durées, exclusivité, date de fin calculée).</w:t>
      </w:r>
    </w:p>
    <w:p>
      <w:pPr>
        <w:pStyle w:val="ListParagraph"/>
        <w:numPr>
          <w:ilvl w:val="0"/>
          <w:numId w:val="2"/>
        </w:numPr>
        <w:spacing w:after="60"/>
      </w:pPr>
      <w:r>
        <w:rPr>
          <w:b w:val="false"/>
          <w:bCs w:val="false"/>
        </w:rPr>
        <w:t xml:space="preserve">« Attribuer un numéro » : numérotation séquentielle sous verrou, sans trou, immuable — la double réservation est refusée par la base ; mandat non supprimable une fois numéroté (esprit registre loi Hoguet). Testé : n° 2105 attribué à la suite du 2104 réel, puis purgé.</w:t>
      </w:r>
    </w:p>
    <w:p>
      <w:pPr>
        <w:pStyle w:val="ListParagraph"/>
        <w:numPr>
          <w:ilvl w:val="0"/>
          <w:numId w:val="2"/>
        </w:numPr>
        <w:spacing w:after="60"/>
      </w:pPr>
      <w:r>
        <w:rPr>
          <w:b w:val="false"/>
          <w:bCs w:val="false"/>
        </w:rPr>
        <w:t xml:space="preserve">Statuts : Attente infos → A rédiger → … → Annulé (motif tracé) ; bandeau lecture seule pour les mandats signés.</w:t>
      </w:r>
    </w:p>
    <w:p>
      <w:pPr>
        <w:pStyle w:val="Heading2"/>
        <w:spacing w:after="100" w:before="240"/>
      </w:pPr>
      <w:r>
        <w:rPr>
          <w:color w:val="B6A359"/>
        </w:rPr>
        <w:t xml:space="preserve">2.5 Dossiers de commercialisation</w:t>
      </w:r>
    </w:p>
    <w:p>
      <w:pPr>
        <w:pStyle w:val="ListParagraph"/>
        <w:numPr>
          <w:ilvl w:val="0"/>
          <w:numId w:val="2"/>
        </w:numPr>
        <w:spacing w:after="60"/>
      </w:pPr>
      <w:r>
        <w:rPr>
          <w:b w:val="false"/>
          <w:bCs w:val="false"/>
        </w:rPr>
        <w:t xml:space="preserve">Modale « Nouveau dossier » (stepper Immeuble → Prix → PDF), versions V1/V2… figées avec prix, rendements, badge Privé/Public.</w:t>
      </w:r>
    </w:p>
    <w:p>
      <w:pPr>
        <w:pStyle w:val="ListParagraph"/>
        <w:numPr>
          <w:ilvl w:val="0"/>
          <w:numId w:val="2"/>
        </w:numPr>
        <w:spacing w:after="60"/>
      </w:pPr>
      <w:r>
        <w:rPr>
          <w:b w:val="false"/>
          <w:bCs w:val="false"/>
        </w:rPr>
        <w:t xml:space="preserve">Version imprimable type « DOSSIER COMPLET » : page de garde chiffrée, synthèse, emplacement, état technique, état locatif lot par lot.</w:t>
      </w:r>
    </w:p>
    <w:p>
      <w:pPr>
        <w:pStyle w:val="Heading2"/>
        <w:spacing w:after="100" w:before="240"/>
      </w:pPr>
      <w:r>
        <w:rPr>
          <w:color w:val="B6A359"/>
        </w:rPr>
        <w:t xml:space="preserve">2.6 Vues listes et navigation</w:t>
      </w:r>
    </w:p>
    <w:p>
      <w:pPr>
        <w:pStyle w:val="ListParagraph"/>
        <w:numPr>
          <w:ilvl w:val="0"/>
          <w:numId w:val="2"/>
        </w:numPr>
        <w:spacing w:after="60"/>
      </w:pPr>
      <w:r>
        <w:rPr>
          <w:b w:val="false"/>
          <w:bCs w:val="false"/>
        </w:rPr>
        <w:t xml:space="preserve">10 vues listes branchées sur les données réelles : Immeubles (En cours 110 / En attente 78 / Archivés 100), Estimations, Mandats, Visites, Offres (compte à rebours d'expiration), Suivi/Rappels, Contacts, Recherches, Questions, Propositions — recherche, onglets de statut, pagination 10/page, avatars agents.</w:t>
      </w:r>
    </w:p>
    <w:p>
      <w:pPr>
        <w:pStyle w:val="ListParagraph"/>
        <w:numPr>
          <w:ilvl w:val="0"/>
          <w:numId w:val="2"/>
        </w:numPr>
        <w:spacing w:after="60"/>
      </w:pPr>
      <w:r>
        <w:rPr>
          <w:b w:val="false"/>
          <w:bCs w:val="false"/>
        </w:rPr>
        <w:t xml:space="preserve">Fiche Contact complète : typologie (Acheter/Vendre + 4 profils), coordonnées, société, notes, source, sous-onglets à compteurs (Immeubles, Recherches, Propositions, Questions, Visites, Offres, Suivis).</w:t>
      </w:r>
    </w:p>
    <w:p>
      <w:pPr>
        <w:pStyle w:val="ListParagraph"/>
        <w:numPr>
          <w:ilvl w:val="0"/>
          <w:numId w:val="2"/>
        </w:numPr>
        <w:spacing w:after="60"/>
      </w:pPr>
      <w:r>
        <w:rPr>
          <w:b w:val="false"/>
          <w:bCs w:val="false"/>
        </w:rPr>
        <w:t xml:space="preserve">Barre de création rapide : + Contact et + Immeuble opérationnels (ouverture directe de la fiche créée).</w:t>
      </w:r>
    </w:p>
    <w:p>
      <w:pPr>
        <w:pStyle w:val="ListParagraph"/>
        <w:numPr>
          <w:ilvl w:val="0"/>
          <w:numId w:val="2"/>
        </w:numPr>
        <w:spacing w:after="60"/>
      </w:pPr>
      <w:r>
        <w:rPr>
          <w:b w:val="false"/>
          <w:bCs w:val="false"/>
        </w:rPr>
        <w:t xml:space="preserve">Recherche globale (barre du haut) : immeubles + contacts + mandats.</w:t>
      </w:r>
    </w:p>
    <w:p>
      <w:pPr>
        <w:pStyle w:val="ListParagraph"/>
        <w:numPr>
          <w:ilvl w:val="0"/>
          <w:numId w:val="2"/>
        </w:numPr>
        <w:spacing w:after="60"/>
      </w:pPr>
      <w:r>
        <w:rPr>
          <w:b w:val="false"/>
          <w:bCs w:val="false"/>
        </w:rPr>
        <w:t xml:space="preserve">Datas : entonnoir 12 mois (contacts, sourcing, estimations, mandats, visites, offres, ventes + taux de conversion) — chiffres cohérents avec les captures (42 mandats créés / 21 signés).</w:t>
      </w:r>
    </w:p>
    <w:p>
      <w:pPr>
        <w:pStyle w:val="Heading2"/>
        <w:spacing w:after="100" w:before="240"/>
      </w:pPr>
      <w:r>
        <w:rPr>
          <w:color w:val="B6A359"/>
        </w:rPr>
        <w:t xml:space="preserve">2.7 Infrastructure</w:t>
      </w:r>
    </w:p>
    <w:p>
      <w:pPr>
        <w:pStyle w:val="ListParagraph"/>
        <w:numPr>
          <w:ilvl w:val="0"/>
          <w:numId w:val="2"/>
        </w:numPr>
        <w:spacing w:after="60"/>
      </w:pPr>
      <w:r>
        <w:rPr>
          <w:b w:val="false"/>
          <w:bCs w:val="false"/>
        </w:rPr>
        <w:t xml:space="preserve">Miroir Supabase dédié (26 types Bubble + prix_secteur découvert et backfillé : 1 824 relevés de secteur), synchro autonome toutes les heures, token en Vault.</w:t>
      </w:r>
    </w:p>
    <w:p>
      <w:pPr>
        <w:pStyle w:val="ListParagraph"/>
        <w:numPr>
          <w:ilvl w:val="0"/>
          <w:numId w:val="2"/>
        </w:numPr>
        <w:spacing w:after="60"/>
      </w:pPr>
      <w:r>
        <w:rPr>
          <w:b w:val="false"/>
          <w:bCs w:val="false"/>
        </w:rPr>
        <w:t xml:space="preserve">Écritures via RPC service_role uniquement ; corbeille de récupération (bo_trash) sur toutes les suppressions ; agrégats (lots, charges, travaux, secteur) recalculés en base.</w:t>
      </w:r>
    </w:p>
    <w:p>
      <w:pPr>
        <w:pStyle w:val="ListParagraph"/>
        <w:numPr>
          <w:ilvl w:val="0"/>
          <w:numId w:val="2"/>
        </w:numPr>
        <w:spacing w:after="60"/>
      </w:pPr>
      <w:r>
        <w:rPr>
          <w:b w:val="false"/>
          <w:bCs w:val="false"/>
        </w:rPr>
        <w:t xml:space="preserve">Stockage privé bo-files pour photos/documents, servi par un proxy authentifié (aucune clé côté navigateur).</w:t>
      </w:r>
    </w:p>
    <w:p>
      <w:pPr>
        <w:pStyle w:val="Heading1"/>
        <w:spacing w:after="140" w:before="320"/>
      </w:pPr>
      <w:r>
        <w:rPr>
          <w:color w:val="44525F"/>
        </w:rPr>
        <w:t xml:space="preserve">3. Ce qui reste à faire</w:t>
      </w:r>
    </w:p>
    <w:p>
      <w:pPr>
        <w:pStyle w:val="Heading2"/>
        <w:spacing w:after="100" w:before="240"/>
      </w:pPr>
      <w:r>
        <w:rPr>
          <w:color w:val="B6A359"/>
        </w:rPr>
        <w:t xml:space="preserve">3.1 Pour terminer la réplique</w:t>
      </w:r>
    </w:p>
    <w:p>
      <w:pPr>
        <w:pStyle w:val="ListParagraph"/>
        <w:numPr>
          <w:ilvl w:val="0"/>
          <w:numId w:val="2"/>
        </w:numPr>
        <w:spacing w:after="60"/>
      </w:pPr>
      <w:r>
        <w:rPr>
          <w:b w:val="false"/>
          <w:bCs w:val="false"/>
        </w:rPr>
        <w:t xml:space="preserve">Propositions en masse : envoi de propositions par mailing + matching recherches ↔ immeubles (le cœur « Commercialiser » du BO). Données déjà synchronisées.</w:t>
      </w:r>
    </w:p>
    <w:p>
      <w:pPr>
        <w:pStyle w:val="ListParagraph"/>
        <w:numPr>
          <w:ilvl w:val="0"/>
          <w:numId w:val="2"/>
        </w:numPr>
        <w:spacing w:after="60"/>
      </w:pPr>
      <w:r>
        <w:rPr>
          <w:b w:val="false"/>
          <w:bCs w:val="false"/>
        </w:rPr>
        <w:t xml:space="preserve">Module Objectifs (volumes/taux par agent + drill-down) et funnels Datas par population.</w:t>
      </w:r>
    </w:p>
    <w:p>
      <w:pPr>
        <w:pStyle w:val="ListParagraph"/>
        <w:numPr>
          <w:ilvl w:val="0"/>
          <w:numId w:val="2"/>
        </w:numPr>
        <w:spacing w:after="60"/>
      </w:pPr>
      <w:r>
        <w:rPr>
          <w:b w:val="false"/>
          <w:bCs w:val="false"/>
        </w:rPr>
        <w:t xml:space="preserve">Compteurs de la barre latérale encore statiques (36/53/5/9/31) — sémantique exacte à confirmer ensemble.</w:t>
      </w:r>
    </w:p>
    <w:p>
      <w:pPr>
        <w:pStyle w:val="ListParagraph"/>
        <w:numPr>
          <w:ilvl w:val="0"/>
          <w:numId w:val="2"/>
        </w:numPr>
        <w:spacing w:after="60"/>
      </w:pPr>
      <w:r>
        <w:rPr>
          <w:b w:val="false"/>
          <w:bCs w:val="false"/>
        </w:rPr>
        <w:t xml:space="preserve">Import / export CSV des lots ; copie en masse (« Nombre de copies »).</w:t>
      </w:r>
    </w:p>
    <w:p>
      <w:pPr>
        <w:pStyle w:val="ListParagraph"/>
        <w:numPr>
          <w:ilvl w:val="0"/>
          <w:numId w:val="2"/>
        </w:numPr>
        <w:spacing w:after="60"/>
      </w:pPr>
      <w:r>
        <w:rPr>
          <w:b w:val="false"/>
          <w:bCs w:val="false"/>
        </w:rPr>
        <w:t xml:space="preserve">Questions : clôture avec remarques ; Recherches : création/édition des critères.</w:t>
      </w:r>
    </w:p>
    <w:p>
      <w:pPr>
        <w:pStyle w:val="ListParagraph"/>
        <w:numPr>
          <w:ilvl w:val="0"/>
          <w:numId w:val="2"/>
        </w:numPr>
        <w:spacing w:after="60"/>
      </w:pPr>
      <w:r>
        <w:rPr>
          <w:b w:val="false"/>
          <w:bCs w:val="false"/>
        </w:rPr>
        <w:t xml:space="preserve">PDF générés côté serveur (aujourd'hui : page imprimable → PDF via le navigateur).</w:t>
      </w:r>
    </w:p>
    <w:p>
      <w:pPr>
        <w:pStyle w:val="ListParagraph"/>
        <w:numPr>
          <w:ilvl w:val="0"/>
          <w:numId w:val="2"/>
        </w:numPr>
        <w:spacing w:after="60"/>
      </w:pPr>
      <w:r>
        <w:rPr>
          <w:b w:val="false"/>
          <w:bCs w:val="false"/>
        </w:rPr>
        <w:t xml:space="preserve">Mapping des agents Guillaume / Sophie / François à confirmer (ids provisoires).</w:t>
      </w:r>
    </w:p>
    <w:p>
      <w:pPr>
        <w:pStyle w:val="Heading2"/>
        <w:spacing w:after="100" w:before="240"/>
      </w:pPr>
      <w:r>
        <w:rPr>
          <w:color w:val="B6A359"/>
        </w:rPr>
        <w:t xml:space="preserve">3.2 Améliorations prévues après l'iso-fonctionnel</w:t>
      </w:r>
    </w:p>
    <w:p>
      <w:pPr>
        <w:pStyle w:val="ListParagraph"/>
        <w:numPr>
          <w:ilvl w:val="0"/>
          <w:numId w:val="2"/>
        </w:numPr>
        <w:spacing w:after="60"/>
      </w:pPr>
      <w:r>
        <w:rPr>
          <w:b w:val="false"/>
          <w:bCs w:val="false"/>
        </w:rPr>
        <w:t xml:space="preserve">Mode découpe (lots → grille de prix → vente au détail), passerelle Plein Bail (DVF/loyers déjà en base marketplace), automatisations &amp; IA (relances, rédaction, matching).</w:t>
      </w:r>
    </w:p>
    <w:p>
      <w:pPr>
        <w:pStyle w:val="ListParagraph"/>
        <w:numPr>
          <w:ilvl w:val="0"/>
          <w:numId w:val="2"/>
        </w:numPr>
        <w:spacing w:after="60"/>
      </w:pPr>
      <w:r>
        <w:rPr>
          <w:b w:val="false"/>
          <w:bCs w:val="false"/>
        </w:rPr>
        <w:t xml:space="preserve">Authentification / rôles (aujourd'hui l'app est ouverte sur l'URL de preview, protégée par le SSO Vercel).</w:t>
      </w:r>
    </w:p>
    <w:p>
      <w:pPr>
        <w:pStyle w:val="ListParagraph"/>
        <w:numPr>
          <w:ilvl w:val="0"/>
          <w:numId w:val="2"/>
        </w:numPr>
        <w:spacing w:after="60"/>
      </w:pPr>
      <w:r>
        <w:rPr>
          <w:b w:val="false"/>
          <w:bCs w:val="false"/>
        </w:rPr>
        <w:t xml:space="preserve">Purge des suppressions Bubble (la synchro ne propage pas les deletes) et politique de bascule (arrêt du cron le jour du cutover).</w:t>
      </w:r>
    </w:p>
    <w:p>
      <w:pPr>
        <w:pStyle w:val="Heading1"/>
        <w:spacing w:after="140" w:before="320"/>
      </w:pPr>
      <w:r>
        <w:rPr>
          <w:color w:val="44525F"/>
        </w:rPr>
        <w:t xml:space="preserve">4. Actions attendues de ta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shd w:fill="F0EDE3" w:val="clear"/>
            <w:tcMar>
              <w:top w:type="dxa" w:w="60"/>
              <w:left w:type="dxa" w:w="100"/>
              <w:bottom w:type="dxa" w:w="60"/>
              <w:right w:type="dxa" w:w="100"/>
            </w:tcMar>
          </w:tcPr>
          <w:p>
            <w:r>
              <w:rPr>
                <w:b/>
                <w:bCs/>
                <w:sz w:val="20"/>
                <w:szCs w:val="20"/>
              </w:rPr>
              <w:t xml:space="preserve">Sujet</w:t>
            </w:r>
          </w:p>
        </w:tc>
        <w:tc>
          <w:tcPr>
            <w:tcW w:type="dxa" w:w="6260"/>
            <w:shd w:fill="F0EDE3" w:val="clear"/>
            <w:tcMar>
              <w:top w:type="dxa" w:w="60"/>
              <w:left w:type="dxa" w:w="100"/>
              <w:bottom w:type="dxa" w:w="60"/>
              <w:right w:type="dxa" w:w="100"/>
            </w:tcMar>
          </w:tcPr>
          <w:p>
            <w:r>
              <w:rPr>
                <w:b/>
                <w:bCs/>
                <w:sz w:val="20"/>
                <w:szCs w:val="20"/>
              </w:rPr>
              <w:t xml:space="preserve">Action</w:t>
            </w:r>
          </w:p>
        </w:tc>
      </w:tr>
      <w:tr>
        <w:tc>
          <w:tcPr>
            <w:tcW w:type="dxa" w:w="3100"/>
            <w:tcMar>
              <w:top w:type="dxa" w:w="60"/>
              <w:left w:type="dxa" w:w="100"/>
              <w:bottom w:type="dxa" w:w="60"/>
              <w:right w:type="dxa" w:w="100"/>
            </w:tcMar>
          </w:tcPr>
          <w:p>
            <w:r>
              <w:rPr>
                <w:b/>
                <w:bCs/>
                <w:sz w:val="20"/>
                <w:szCs w:val="20"/>
              </w:rPr>
              <w:t xml:space="preserve">Variables Vercel</w:t>
            </w:r>
          </w:p>
        </w:tc>
        <w:tc>
          <w:tcPr>
            <w:tcW w:type="dxa" w:w="6260"/>
            <w:tcMar>
              <w:top w:type="dxa" w:w="60"/>
              <w:left w:type="dxa" w:w="100"/>
              <w:bottom w:type="dxa" w:w="60"/>
              <w:right w:type="dxa" w:w="100"/>
            </w:tcMar>
          </w:tcPr>
          <w:p>
            <w:r>
              <w:rPr>
                <w:b w:val="false"/>
                <w:bCs w:val="false"/>
                <w:sz w:val="20"/>
                <w:szCs w:val="20"/>
              </w:rPr>
              <w:t xml:space="preserve">Vérifier que SUPABASE_SERVICE_ROLE_KEY, SUPABASE_URL, BUBBLE_API_TOKEN et BUBBLE_APP_URL sont bien présentes dans les scopes Production ET Preview, puis redéployer la branche.</w:t>
            </w:r>
          </w:p>
        </w:tc>
      </w:tr>
      <w:tr>
        <w:tc>
          <w:tcPr>
            <w:tcW w:type="dxa" w:w="3100"/>
            <w:tcMar>
              <w:top w:type="dxa" w:w="60"/>
              <w:left w:type="dxa" w:w="100"/>
              <w:bottom w:type="dxa" w:w="60"/>
              <w:right w:type="dxa" w:w="100"/>
            </w:tcMar>
          </w:tcPr>
          <w:p>
            <w:r>
              <w:rPr>
                <w:b/>
                <w:bCs/>
                <w:sz w:val="20"/>
                <w:szCs w:val="20"/>
              </w:rPr>
              <w:t xml:space="preserve">Badges sidebar</w:t>
            </w:r>
          </w:p>
        </w:tc>
        <w:tc>
          <w:tcPr>
            <w:tcW w:type="dxa" w:w="6260"/>
            <w:tcMar>
              <w:top w:type="dxa" w:w="60"/>
              <w:left w:type="dxa" w:w="100"/>
              <w:bottom w:type="dxa" w:w="60"/>
              <w:right w:type="dxa" w:w="100"/>
            </w:tcMar>
          </w:tcPr>
          <w:p>
            <w:r>
              <w:rPr>
                <w:b w:val="false"/>
                <w:bCs w:val="false"/>
                <w:sz w:val="20"/>
                <w:szCs w:val="20"/>
              </w:rPr>
              <w:t xml:space="preserve">Me donner la sémantique exacte des compteurs (36 estimations ? 53 immeubles en cours ? 5 mandats ? 9/1 visites ? 31 offres ?) pour les rendre dynamiques.</w:t>
            </w:r>
          </w:p>
        </w:tc>
      </w:tr>
      <w:tr>
        <w:tc>
          <w:tcPr>
            <w:tcW w:type="dxa" w:w="3100"/>
            <w:tcMar>
              <w:top w:type="dxa" w:w="60"/>
              <w:left w:type="dxa" w:w="100"/>
              <w:bottom w:type="dxa" w:w="60"/>
              <w:right w:type="dxa" w:w="100"/>
            </w:tcMar>
          </w:tcPr>
          <w:p>
            <w:r>
              <w:rPr>
                <w:b/>
                <w:bCs/>
                <w:sz w:val="20"/>
                <w:szCs w:val="20"/>
              </w:rPr>
              <w:t xml:space="preserve">Agents</w:t>
            </w:r>
          </w:p>
        </w:tc>
        <w:tc>
          <w:tcPr>
            <w:tcW w:type="dxa" w:w="6260"/>
            <w:tcMar>
              <w:top w:type="dxa" w:w="60"/>
              <w:left w:type="dxa" w:w="100"/>
              <w:bottom w:type="dxa" w:w="60"/>
              <w:right w:type="dxa" w:w="100"/>
            </w:tcMar>
          </w:tcPr>
          <w:p>
            <w:r>
              <w:rPr>
                <w:b w:val="false"/>
                <w:bCs w:val="false"/>
                <w:sz w:val="20"/>
                <w:szCs w:val="20"/>
              </w:rPr>
              <w:t xml:space="preserve">Confirmer le mapping Guillaume / Sophie / François (je peux te lister les immeubles rattachés à chaque id pour trancher).</w:t>
            </w:r>
          </w:p>
        </w:tc>
      </w:tr>
      <w:tr>
        <w:tc>
          <w:tcPr>
            <w:tcW w:type="dxa" w:w="3100"/>
            <w:tcMar>
              <w:top w:type="dxa" w:w="60"/>
              <w:left w:type="dxa" w:w="100"/>
              <w:bottom w:type="dxa" w:w="60"/>
              <w:right w:type="dxa" w:w="100"/>
            </w:tcMar>
          </w:tcPr>
          <w:p>
            <w:r>
              <w:rPr>
                <w:b/>
                <w:bCs/>
                <w:sz w:val="20"/>
                <w:szCs w:val="20"/>
              </w:rPr>
              <w:t xml:space="preserve">Propositions</w:t>
            </w:r>
          </w:p>
        </w:tc>
        <w:tc>
          <w:tcPr>
            <w:tcW w:type="dxa" w:w="6260"/>
            <w:tcMar>
              <w:top w:type="dxa" w:w="60"/>
              <w:left w:type="dxa" w:w="100"/>
              <w:bottom w:type="dxa" w:w="60"/>
              <w:right w:type="dxa" w:w="100"/>
            </w:tcMar>
          </w:tcPr>
          <w:p>
            <w:r>
              <w:rPr>
                <w:b w:val="false"/>
                <w:bCs w:val="false"/>
                <w:sz w:val="20"/>
                <w:szCs w:val="20"/>
              </w:rPr>
              <w:t xml:space="preserve">Me préciser le workflow d'envoi en masse souhaité (voir l'onglet « À définir ensemble » de l'Excel joint).</w:t>
            </w:r>
          </w:p>
        </w:tc>
      </w:tr>
      <w:tr>
        <w:tc>
          <w:tcPr>
            <w:tcW w:type="dxa" w:w="3100"/>
            <w:tcMar>
              <w:top w:type="dxa" w:w="60"/>
              <w:left w:type="dxa" w:w="100"/>
              <w:bottom w:type="dxa" w:w="60"/>
              <w:right w:type="dxa" w:w="100"/>
            </w:tcMar>
          </w:tcPr>
          <w:p>
            <w:r>
              <w:rPr>
                <w:b/>
                <w:bCs/>
                <w:sz w:val="20"/>
                <w:szCs w:val="20"/>
              </w:rPr>
              <w:t xml:space="preserve">Validation</w:t>
            </w:r>
          </w:p>
        </w:tc>
        <w:tc>
          <w:tcPr>
            <w:tcW w:type="dxa" w:w="6260"/>
            <w:tcMar>
              <w:top w:type="dxa" w:w="60"/>
              <w:left w:type="dxa" w:w="100"/>
              <w:bottom w:type="dxa" w:w="60"/>
              <w:right w:type="dxa" w:w="100"/>
            </w:tcMar>
          </w:tcPr>
          <w:p>
            <w:r>
              <w:rPr>
                <w:b w:val="false"/>
                <w:bCs w:val="false"/>
                <w:sz w:val="20"/>
                <w:szCs w:val="20"/>
              </w:rPr>
              <w:t xml:space="preserve">Parcourir la preview (fiche d'un bien réel : lots, estimation, mandat, dossier, offre) et me signaler tout écart avec ton BO actuel.</w:t>
            </w:r>
          </w:p>
        </w:tc>
      </w:tr>
    </w:tbl>
    <w:p>
      <w:pPr>
        <w:spacing w:after="100"/>
      </w:pPr>
      <w:r>
        <w:t xml:space="preserve"/>
      </w:r>
    </w:p>
    <w:p>
      <w:pPr>
        <w:spacing w:after="100"/>
      </w:pPr>
      <w:r>
        <w:rPr>
          <w:i/>
          <w:iCs/>
          <w:color w:val="6C7781"/>
        </w:rPr>
        <w:t xml:space="preserve">Détail opérationnel des workflows (implémentés et à définir) : voir le classeur Excel joint « workflows-bo-france-immeuble.xlsx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2026-08-11T08:44:02.081Z</dcterms:created>
  <dcterms:modified xsi:type="dcterms:W3CDTF">2026-08-11T08:44:02.082Z</dcterms:modified>
</cp:coreProperties>
</file>

<file path=docProps/custom.xml><?xml version="1.0" encoding="utf-8"?>
<Properties xmlns="http://schemas.openxmlformats.org/officeDocument/2006/custom-properties" xmlns:vt="http://schemas.openxmlformats.org/officeDocument/2006/docPropsVTypes"/>
</file>