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tbl>
      <w:tblPr>
        <w:tblW w:w="0" w:type="auto"/>
        <w:jc w:val="center"/>
        <w:tblBorders>
          <w:bottom w:val="single" w:color="auto" w:sz="8" w:space="0"/>
        </w:tblBorders>
        <w:tblLook w:val="04A0"/>
      </w:tblPr>
      <w:tblGrid>
        <w:gridCol w:w="9355"/>
      </w:tblGrid>
      <w:tr>
        <w:trPr>
          <w:jc w:val="center"/>
        </w:trPr>
        <w:tc>
          <w:tcPr>
            <w:cnfStyle w:val="101000000000"/>
            <w:tcW w:w="9355" w:type="dxa"/>
            <w:tcBorders>
              <w:bottom w:val="nil" w:sz="4" w:space="0"/>
            </w:tcBorders>
          </w:tcPr>
          <w:p w14:paraId="00000001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drawing xmlns:mc="http://schemas.openxmlformats.org/markup-compatibility/2006">
                <wp:inline distT="0" distB="0" distL="0" distR="0">
                  <wp:extent cx="890693" cy="1009227"/>
                  <wp:effectExtent l="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2"/>
                          <pic:cNvPicPr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90"/>
          <w:jc w:val="center"/>
        </w:trPr>
        <w:tc>
          <w:tcPr>
            <w:cnfStyle w:val="001000100000"/>
            <w:tcW w:w="9355" w:type="dxa"/>
            <w:tcBorders>
              <w:bottom w:val="single" w:color="auto" w:sz="4" w:space="0"/>
            </w:tcBorders>
          </w:tcPr>
          <w:p w14:paraId="00000002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МИНОБРНАУКИ РОССИИ</w:t>
            </w:r>
          </w:p>
          <w:p w14:paraId="00000003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00000004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pacing w:val="-2"/>
                <w:sz w:val="24"/>
                <w:szCs w:val="24"/>
              </w:rPr>
              <w:t xml:space="preserve">высшего </w:t>
            </w:r>
            <w:r>
              <w:rPr>
                <w:rFonts w:ascii="Times New Roman" w:cs="Times New Roman" w:hAnsi="Times New Roman"/>
                <w:bCs/>
                <w:spacing w:val="-2"/>
                <w:sz w:val="24"/>
                <w:szCs w:val="24"/>
              </w:rPr>
              <w:t>образования</w:t>
            </w:r>
          </w:p>
          <w:p w14:paraId="00000005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00000006">
            <w:pPr>
              <w:pBdr>
                <w:bottom w:val="single" w:color="auto" w:sz="6" w:space="1"/>
              </w:pBd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b/>
                <w:spacing w:val="-6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b/>
                <w:spacing w:val="-6"/>
                <w:sz w:val="32"/>
                <w:szCs w:val="32"/>
              </w:rPr>
              <w:t>РТУ МИРЭА</w:t>
            </w:r>
          </w:p>
          <w:p w14:paraId="00000007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Институт информационных технологий</w:t>
            </w:r>
          </w:p>
          <w:p w14:paraId="00000008">
            <w:pPr>
              <w:spacing w:after="0" w:line="240" w:lineRule="auto"/>
              <w:ind w:firstLine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Кафедра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квантовых информационных технологий,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практической и прикладной информатики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0000009">
      <w:pPr>
        <w:rPr>
          <w:rFonts w:ascii="Times New Roman" w:cs="Times New Roman" w:hAnsi="Times New Roman"/>
        </w:rPr>
      </w:pPr>
    </w:p>
    <w:p w14:paraId="0000000A">
      <w:pPr>
        <w:rPr>
          <w:rFonts w:ascii="Times New Roman" w:cs="Times New Roman" w:hAnsi="Times New Roman"/>
        </w:rPr>
      </w:pPr>
    </w:p>
    <w:p w14:paraId="0000000B">
      <w:pPr>
        <w:rPr>
          <w:rFonts w:ascii="Times New Roman" w:cs="Times New Roman" w:hAnsi="Times New Roman"/>
        </w:rPr>
      </w:pPr>
    </w:p>
    <w:p w14:paraId="0000000C">
      <w:pPr>
        <w:rPr>
          <w:rFonts w:ascii="Times New Roman" w:cs="Times New Roman" w:hAnsi="Times New Roman"/>
        </w:rPr>
      </w:pPr>
    </w:p>
    <w:p w14:paraId="0000000D">
      <w:pPr>
        <w:ind w:firstLine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ОТЧЕТ ПО </w:t>
      </w:r>
      <w:r>
        <w:rPr>
          <w:rFonts w:ascii="Times New Roman" w:cs="Times New Roman" w:hAnsi="Times New Roman"/>
          <w:b/>
          <w:sz w:val="28"/>
          <w:szCs w:val="28"/>
        </w:rPr>
        <w:t>БЛОКУ ПРАКТИЧЕСКИХ РАБОТ №1–4</w:t>
      </w:r>
    </w:p>
    <w:p w14:paraId="0000000E">
      <w:pPr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По дисциплине</w:t>
      </w:r>
    </w:p>
    <w:p w14:paraId="0000000F">
      <w:pPr>
        <w:ind w:firstLine="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sz w:val="28"/>
          <w:szCs w:val="28"/>
        </w:rPr>
        <w:t>Информационно-технологическая инфраструктура</w:t>
      </w:r>
    </w:p>
    <w:p w14:paraId="00000010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1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2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3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4">
      <w:pPr>
        <w:ind w:firstLine="0"/>
        <w:jc w:val="center"/>
        <w:rPr>
          <w:rFonts w:ascii="Times New Roman" w:cs="Times New Roman" w:hAnsi="Times New Roman"/>
          <w:b/>
        </w:rPr>
      </w:pPr>
    </w:p>
    <w:tbl>
      <w:tblPr>
        <w:tblStyle w:val="TableGrid"/>
        <w:tblW w:w="0" w:type="auto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3115"/>
        <w:gridCol w:w="3115"/>
        <w:gridCol w:w="3115"/>
      </w:tblGrid>
      <w:tr>
        <w:trPr/>
        <w:tc>
          <w:tcPr>
            <w:cnfStyle w:val="101000000000"/>
            <w:tcW w:w="3115" w:type="dxa"/>
          </w:tcPr>
          <w:p w14:paraId="00000015">
            <w:pPr>
              <w:ind w:firstLine="0"/>
              <w:jc w:val="left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Работа выполнена</w:t>
            </w:r>
          </w:p>
        </w:tc>
        <w:tc>
          <w:tcPr>
            <w:cnfStyle w:val="100000000000"/>
            <w:tcW w:w="3115" w:type="dxa"/>
          </w:tcPr>
          <w:p w14:paraId="00000016">
            <w:pPr>
              <w:ind w:firstLine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     »_________202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г.</w:t>
            </w:r>
          </w:p>
        </w:tc>
        <w:tc>
          <w:tcPr>
            <w:cnfStyle w:val="100000000000"/>
            <w:tcW w:w="3115" w:type="dxa"/>
          </w:tcPr>
          <w:p w14:paraId="00000017">
            <w:pPr>
              <w:ind w:firstLine="0"/>
              <w:jc w:val="right"/>
              <w:rPr>
                <w:rFonts w:ascii="Times New Roman" w:cs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highlight w:val="none"/>
                <w:lang w:val="ru-RU"/>
              </w:rPr>
              <w:t>Игнатова Ю.П.</w:t>
            </w:r>
          </w:p>
        </w:tc>
      </w:tr>
      <w:tr>
        <w:trPr/>
        <w:tc>
          <w:tcPr>
            <w:cnfStyle w:val="001000100000"/>
            <w:tcW w:w="3115" w:type="dxa"/>
          </w:tcPr>
          <w:p w14:paraId="00000018">
            <w:pPr>
              <w:ind w:firstLine="0"/>
              <w:jc w:val="left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Зачтено</w:t>
            </w:r>
          </w:p>
        </w:tc>
        <w:tc>
          <w:tcPr>
            <w:cnfStyle w:val="000000100000"/>
            <w:tcW w:w="3115" w:type="dxa"/>
          </w:tcPr>
          <w:p w14:paraId="00000019">
            <w:pPr>
              <w:ind w:firstLine="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     »_________202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г.</w:t>
            </w:r>
          </w:p>
        </w:tc>
        <w:tc>
          <w:tcPr>
            <w:cnfStyle w:val="000000100000"/>
            <w:tcW w:w="3115" w:type="dxa"/>
          </w:tcPr>
          <w:p w14:paraId="0000001A">
            <w:pPr>
              <w:ind w:firstLine="0"/>
              <w:jc w:val="right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Павлова Е.С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</w:t>
            </w:r>
          </w:p>
        </w:tc>
      </w:tr>
    </w:tbl>
    <w:p w14:paraId="0000001B">
      <w:pPr>
        <w:ind w:firstLine="0"/>
        <w:jc w:val="center"/>
        <w:rPr>
          <w:rFonts w:ascii="Times New Roman" w:cs="Times New Roman" w:hAnsi="Times New Roman"/>
          <w:b/>
          <w:sz w:val="28"/>
          <w:szCs w:val="28"/>
        </w:rPr>
      </w:pPr>
    </w:p>
    <w:p w14:paraId="0000001C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D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E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1F">
      <w:pPr>
        <w:ind w:firstLine="0"/>
        <w:jc w:val="center"/>
        <w:rPr>
          <w:rFonts w:ascii="Times New Roman" w:cs="Times New Roman" w:hAnsi="Times New Roman"/>
          <w:b/>
        </w:rPr>
      </w:pPr>
    </w:p>
    <w:p w14:paraId="00000020">
      <w:pPr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Москва, 202</w:t>
      </w:r>
      <w:r>
        <w:rPr>
          <w:rFonts w:ascii="Times New Roman" w:cs="Times New Roman" w:hAnsi="Times New Roman"/>
        </w:rPr>
        <w:t>6</w:t>
      </w:r>
      <w:r>
        <w:rPr>
          <w:rFonts w:ascii="Times New Roman" w:cs="Times New Roman" w:hAnsi="Times New Roman"/>
        </w:rPr>
        <w:t>г.</w:t>
      </w:r>
    </w:p>
    <w:p w14:paraId="00000021">
      <w:pPr>
        <w:keepNext w:val="on"/>
        <w:pageBreakBefore w:val="on"/>
        <w:spacing w:before="120" w:after="60" w:line="360" w:lineRule="auto"/>
        <w:jc w:val="center"/>
        <w:rPr/>
      </w:pPr>
      <w:r>
        <w:rPr>
          <w:rFonts w:ascii="Times New Roman" w:cs="Times New Roman" w:hAnsi="Times New Roman"/>
          <w:b/>
          <w:i w:val="off"/>
          <w:sz w:val="28"/>
        </w:rPr>
        <w:t>Практическая работа №1</w:t>
      </w:r>
    </w:p>
    <w:p w14:paraId="00000022">
      <w:pPr>
        <w:keepNext w:val="on"/>
        <w:spacing w:before="120" w:after="60" w:line="360" w:lineRule="auto"/>
        <w:jc w:val="center"/>
        <w:rPr/>
      </w:pPr>
      <w:r>
        <w:rPr>
          <w:rFonts w:ascii="Times New Roman" w:cs="Times New Roman" w:hAnsi="Times New Roman"/>
          <w:b/>
          <w:i w:val="off"/>
          <w:sz w:val="28"/>
        </w:rPr>
        <w:t>«Проектирование ИТ-инфраструктуры на примере предприятия, оказывающего услуги ремонта предметов и изделий из металла»</w:t>
      </w:r>
    </w:p>
    <w:p w14:paraId="00000023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Цель работы</w:t>
      </w:r>
    </w:p>
    <w:p w14:paraId="00000024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Изучить методику описания предметной области предприятия, построения его организационной структуры, выделения основных и вспомогательных бизнес-процессов, а также формирования спецификации пользователей и требований к программному обеспечению рабочих мест.</w:t>
      </w:r>
    </w:p>
    <w:p w14:paraId="00000025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Задачи работы</w:t>
      </w:r>
    </w:p>
    <w:p w14:paraId="00000026">
      <w:pPr>
        <w:spacing w:before="0" w:after="0" w:line="360" w:lineRule="auto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1. Кратко описать деятельность предприятия, раскрыв выбранный вид деятельности в терминах предметной области.</w:t>
      </w:r>
    </w:p>
    <w:p w14:paraId="00000027">
      <w:pPr>
        <w:spacing w:before="0" w:after="0" w:line="360" w:lineRule="auto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2. Построить организационную диаграмму предприятия с учётом параметров P1–P8.</w:t>
      </w:r>
    </w:p>
    <w:p w14:paraId="00000028">
      <w:pPr>
        <w:spacing w:before="0" w:after="0" w:line="360" w:lineRule="auto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3. Составить перечень основных и вспомогательных бизнес-процессов с указанием их критичности.</w:t>
      </w:r>
    </w:p>
    <w:p w14:paraId="00000029">
      <w:pPr>
        <w:spacing w:before="0" w:after="0" w:line="360" w:lineRule="auto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4. Заполнить спецификацию пользователей, определив требования к программному обеспечению на рабочих местах.</w:t>
      </w:r>
    </w:p>
    <w:p w14:paraId="0000002A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1. Описание предметной области</w:t>
      </w:r>
    </w:p>
    <w:p w14:paraId="0000002B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В качестве объекта проектирования рассматривается условное предприятие ООО «МеталлСервис», оказывающее услуги ремонта предметов и изделий из металла. Предприятие принимает изделия от физических и юридических лиц, выполняет первичную диагностику, определяет объём работ и стоимость ремонта, проводит восстановительные операции, контролирует качество и выдаёт готовое изделие заказчику.</w:t>
      </w:r>
    </w:p>
    <w:p w14:paraId="0000002C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К основным видам работ относятся сварочные и слесарные работы, восстановление повреждённых металлических конструкций и деталей, устранение деформаций, замена отдельных элементов, антикоррозионная обработка, ремонт металлических узлов и контроль качества выполненных работ. Часть заказов выполняется на территории клиента выездными бригадами.</w:t>
      </w:r>
    </w:p>
    <w:p w14:paraId="0000002D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ИТ-инфраструктура должна поддерживать работу основного здания, пяти точек присутствия, шести складов и сотрудников, работающих вне офиса. Так как P3 = 0, филиалы в структуре предприятия отсутствуют, а точки присутствия организационно подчиняются основному зданию. Для предприятия особенно критичны процессы регистрации заказа, диагностики, выполнения ремонта и контроля качества.</w:t>
      </w:r>
    </w:p>
    <w:p w14:paraId="0000002E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2. Параметры предприятия</w:t>
      </w:r>
    </w:p>
    <w:p w14:paraId="0000002F">
      <w:pPr>
        <w:spacing w:before="0" w:after="0" w:line="360" w:lineRule="auto"/>
        <w:ind w:firstLine="709"/>
        <w:jc w:val="both"/>
        <w:rPr/>
      </w:pPr>
      <w:r>
        <w:rPr>
          <w:rFonts w:ascii="Times New Roman" w:eastAsia="Times New Roman" w:hAnsi="Times New Roman"/>
          <w:sz w:val="28"/>
        </w:rPr>
        <w:t>Для дальнейшего моделирования организационной структуры и расчета количества пользователей приняты следующие параметры предприятия: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440"/>
        <w:gridCol w:w="6624"/>
        <w:gridCol w:w="1584"/>
      </w:tblGrid>
      <w:tr>
        <w:trPr>
          <w:cnfStyle w:val="100000000000"/>
          <w:cantSplit w:val="on"/>
          <w:tblHeader w:val="on"/>
        </w:trPr>
        <w:tc>
          <w:tcPr>
            <w:cnfStyle w:val="1010000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0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b/>
                <w:sz w:val="21"/>
              </w:rPr>
              <w:t>Параметр</w:t>
            </w:r>
          </w:p>
        </w:tc>
        <w:tc>
          <w:tcPr>
            <w:cnfStyle w:val="1000000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31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b/>
                <w:sz w:val="21"/>
              </w:rPr>
              <w:t>Описание</w:t>
            </w:r>
          </w:p>
        </w:tc>
        <w:tc>
          <w:tcPr>
            <w:cnfStyle w:val="1000000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32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b/>
                <w:sz w:val="21"/>
              </w:rPr>
              <w:t>Значение</w:t>
            </w:r>
          </w:p>
        </w:tc>
      </w:tr>
      <w:tr>
        <w:trPr>
          <w:cnfStyle w:val="000000100000"/>
          <w:cantSplit w:val="on"/>
        </w:trPr>
        <w:tc>
          <w:tcPr>
            <w:cnfStyle w:val="001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3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P1</w:t>
            </w:r>
          </w:p>
        </w:tc>
        <w:tc>
          <w:tcPr>
            <w:cnfStyle w:val="0000001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34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сотрудников основного здания</w:t>
            </w:r>
          </w:p>
        </w:tc>
        <w:tc>
          <w:tcPr>
            <w:cnfStyle w:val="0000001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35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805</w:t>
            </w:r>
          </w:p>
        </w:tc>
      </w:tr>
      <w:tr>
        <w:trPr>
          <w:cnfStyle w:val="000000010000"/>
          <w:cantSplit w:val="on"/>
        </w:trPr>
        <w:tc>
          <w:tcPr>
            <w:cnfStyle w:val="001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6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P2</w:t>
            </w:r>
          </w:p>
        </w:tc>
        <w:tc>
          <w:tcPr>
            <w:cnfStyle w:val="00000001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37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сотрудников одного филиала</w:t>
            </w:r>
          </w:p>
        </w:tc>
        <w:tc>
          <w:tcPr>
            <w:cnfStyle w:val="00000001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38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0</w:t>
            </w:r>
          </w:p>
        </w:tc>
      </w:tr>
      <w:tr>
        <w:trPr>
          <w:cnfStyle w:val="000000100000"/>
          <w:cantSplit w:val="on"/>
        </w:trPr>
        <w:tc>
          <w:tcPr>
            <w:cnfStyle w:val="001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9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P3</w:t>
            </w:r>
          </w:p>
        </w:tc>
        <w:tc>
          <w:tcPr>
            <w:cnfStyle w:val="0000001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3A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филиалов</w:t>
            </w:r>
          </w:p>
        </w:tc>
        <w:tc>
          <w:tcPr>
            <w:cnfStyle w:val="0000001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3B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0</w:t>
            </w:r>
          </w:p>
        </w:tc>
      </w:tr>
      <w:tr>
        <w:trPr>
          <w:cnfStyle w:val="000000010000"/>
          <w:cantSplit w:val="on"/>
        </w:trPr>
        <w:tc>
          <w:tcPr>
            <w:cnfStyle w:val="001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C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P4</w:t>
            </w:r>
          </w:p>
        </w:tc>
        <w:tc>
          <w:tcPr>
            <w:cnfStyle w:val="00000001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3D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точек присутствия</w:t>
            </w:r>
          </w:p>
        </w:tc>
        <w:tc>
          <w:tcPr>
            <w:cnfStyle w:val="00000001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3E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5</w:t>
            </w:r>
          </w:p>
        </w:tc>
      </w:tr>
      <w:tr>
        <w:trPr>
          <w:cnfStyle w:val="000000100000"/>
          <w:cantSplit w:val="on"/>
        </w:trPr>
        <w:tc>
          <w:tcPr>
            <w:cnfStyle w:val="001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3F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P5</w:t>
            </w:r>
          </w:p>
        </w:tc>
        <w:tc>
          <w:tcPr>
            <w:cnfStyle w:val="0000001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0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сотрудников одной точки присутствия</w:t>
            </w:r>
          </w:p>
        </w:tc>
        <w:tc>
          <w:tcPr>
            <w:cnfStyle w:val="0000001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41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13</w:t>
            </w:r>
          </w:p>
        </w:tc>
      </w:tr>
      <w:tr>
        <w:trPr>
          <w:cnfStyle w:val="000000010000"/>
          <w:cantSplit w:val="on"/>
        </w:trPr>
        <w:tc>
          <w:tcPr>
            <w:cnfStyle w:val="001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42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P6</w:t>
            </w:r>
          </w:p>
        </w:tc>
        <w:tc>
          <w:tcPr>
            <w:cnfStyle w:val="00000001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3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сотрудников, работающих вне офиса</w:t>
            </w:r>
          </w:p>
        </w:tc>
        <w:tc>
          <w:tcPr>
            <w:cnfStyle w:val="00000001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44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29</w:t>
            </w:r>
          </w:p>
        </w:tc>
      </w:tr>
      <w:tr>
        <w:trPr>
          <w:cnfStyle w:val="000000100000"/>
          <w:cantSplit w:val="on"/>
        </w:trPr>
        <w:tc>
          <w:tcPr>
            <w:cnfStyle w:val="001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45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P7</w:t>
            </w:r>
          </w:p>
        </w:tc>
        <w:tc>
          <w:tcPr>
            <w:cnfStyle w:val="0000001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6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сотрудников одного склада</w:t>
            </w:r>
          </w:p>
        </w:tc>
        <w:tc>
          <w:tcPr>
            <w:cnfStyle w:val="0000001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47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14</w:t>
            </w:r>
          </w:p>
        </w:tc>
      </w:tr>
      <w:tr>
        <w:trPr>
          <w:cnfStyle w:val="000000010000"/>
          <w:cantSplit w:val="on"/>
        </w:trPr>
        <w:tc>
          <w:tcPr>
            <w:cnfStyle w:val="001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48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P8</w:t>
            </w:r>
          </w:p>
        </w:tc>
        <w:tc>
          <w:tcPr>
            <w:cnfStyle w:val="00000001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9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складов</w:t>
            </w:r>
          </w:p>
        </w:tc>
        <w:tc>
          <w:tcPr>
            <w:cnfStyle w:val="00000001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4A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6</w:t>
            </w:r>
          </w:p>
        </w:tc>
      </w:tr>
      <w:tr>
        <w:trPr>
          <w:cnfStyle w:val="000000100000"/>
          <w:cantSplit w:val="on"/>
        </w:trPr>
        <w:tc>
          <w:tcPr>
            <w:cnfStyle w:val="001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4B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P12</w:t>
            </w:r>
          </w:p>
        </w:tc>
        <w:tc>
          <w:tcPr>
            <w:cnfStyle w:val="00000010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C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Количество внешних пользователей информационных систем</w:t>
            </w:r>
          </w:p>
        </w:tc>
        <w:tc>
          <w:tcPr>
            <w:cnfStyle w:val="00000010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4D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955</w:t>
            </w:r>
          </w:p>
        </w:tc>
      </w:tr>
      <w:tr>
        <w:trPr>
          <w:cnfStyle w:val="000000010000"/>
          <w:cantSplit w:val="on"/>
        </w:trPr>
        <w:tc>
          <w:tcPr>
            <w:cnfStyle w:val="001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4E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P15</w:t>
            </w:r>
          </w:p>
        </w:tc>
        <w:tc>
          <w:tcPr>
            <w:cnfStyle w:val="000000010000"/>
            <w:tcW w:w="6624" w:type="dxa"/>
            <w:tcMar>
              <w:top w:w="70" w:type="dxa"/>
              <w:bottom w:w="70" w:type="dxa"/>
            </w:tcMar>
            <w:vAlign w:val="center"/>
          </w:tcPr>
          <w:p w14:paraId="0000004F">
            <w:pPr>
              <w:spacing w:before="0" w:after="0" w:line="240" w:lineRule="auto"/>
              <w:jc w:val="left"/>
              <w:rPr/>
            </w:pPr>
            <w:r>
              <w:rPr>
                <w:rFonts w:ascii="Times New Roman" w:cs="Times New Roman" w:hAnsi="Times New Roman"/>
                <w:sz w:val="21"/>
              </w:rPr>
              <w:t>Ограничение по использованию только отечественного ПО</w:t>
            </w:r>
          </w:p>
        </w:tc>
        <w:tc>
          <w:tcPr>
            <w:cnfStyle w:val="000000010000"/>
            <w:tcW w:w="1584" w:type="dxa"/>
            <w:tcMar>
              <w:top w:w="70" w:type="dxa"/>
              <w:bottom w:w="70" w:type="dxa"/>
            </w:tcMar>
            <w:vAlign w:val="center"/>
          </w:tcPr>
          <w:p w14:paraId="00000050">
            <w:pPr>
              <w:spacing w:before="0" w:after="0" w:line="240" w:lineRule="auto"/>
              <w:jc w:val="center"/>
              <w:rPr/>
            </w:pPr>
            <w:r>
              <w:rPr>
                <w:rFonts w:ascii="Times New Roman" w:cs="Times New Roman" w:hAnsi="Times New Roman"/>
                <w:sz w:val="21"/>
              </w:rPr>
              <w:t>нет</w:t>
            </w:r>
          </w:p>
        </w:tc>
      </w:tr>
    </w:tbl>
    <w:p w14:paraId="00000051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3. Организационная структура предприятия</w:t>
      </w:r>
    </w:p>
    <w:p w14:paraId="00000052">
      <w:pPr>
        <w:spacing w:before="0" w:after="0" w:line="360" w:lineRule="auto"/>
        <w:ind w:firstLine="709"/>
        <w:jc w:val="both"/>
        <w:rPr/>
        <w:sectPr>
          <w:footnotePr/>
          <w:type w:val="nextPage"/>
          <w:pgSz w:w="11906" w:h="16838"/>
          <w:pgMar w:top="1152" w:right="1152" w:bottom="1152" w:left="1152" w:header="708" w:footer="708" w:gutter="0"/>
          <w:paperSrc w:first="1" w:other="1"/>
          <w:cols w:equalWidth="1" w:space="720" w:num="1" w:sep="0"/>
        </w:sectPr>
      </w:pPr>
      <w:r>
        <w:rPr>
          <w:rFonts w:ascii="Times New Roman" w:cs="Times New Roman" w:hAnsi="Times New Roman"/>
          <w:b w:val="off"/>
          <w:i w:val="off"/>
          <w:sz w:val="28"/>
        </w:rPr>
        <w:t>Организационная структура построена по функциональному принципу. Основное здание объединяет руководство, производственные подразделения и централизованные обеспечивающие службы. Пять точек присутствия выполняют функции приёма и выдачи заказов, первичной диагностики и расчётов с клиентами. Шесть складов обеспечивают хранение материалов, запасных частей и готовых изделий. Внеофисные сотрудники выполняют выездную диагностику, ремонт и доставку.</w:t>
      </w:r>
    </w:p>
    <w:p w14:paraId="00000053">
      <w:pPr>
        <w:jc w:val="center"/>
        <w:rPr/>
      </w:pPr>
      <w:r>
        <w:rPr>
          <w:rFonts w:ascii="Times New Roman" w:cs="Times New Roman" w:hAnsi="Times New Roman"/>
          <w:sz w:val="28"/>
        </w:rPr>
        <w:drawing xmlns:mc="http://schemas.openxmlformats.org/markup-compatibility/2006">
          <wp:inline distT="0" distB="0" distL="0" distR="0">
            <wp:extent cx="9144000" cy="270615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spacing w:before="60" w:after="60" w:line="240" w:lineRule="auto"/>
        <w:jc w:val="left"/>
        <w:rPr/>
      </w:pPr>
      <w:r>
        <w:rPr>
          <w:rFonts w:ascii="Times New Roman" w:cs="Times New Roman" w:hAnsi="Times New Roman"/>
          <w:b w:val="off"/>
          <w:i/>
          <w:sz w:val="22"/>
        </w:rPr>
        <w:t>Рисунок 1 – Организационная структура предприятия</w:t>
      </w:r>
    </w:p>
    <w:p w14:paraId="00000055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4. Спецификация основных и вспомогательных бизнес-процессов</w:t>
      </w:r>
    </w:p>
    <w:p w14:paraId="00000056">
      <w:pPr>
        <w:spacing w:before="0" w:after="60" w:line="240" w:lineRule="auto"/>
        <w:jc w:val="both"/>
        <w:rPr/>
      </w:pPr>
      <w:r>
        <w:rPr>
          <w:rFonts w:ascii="Times New Roman" w:cs="Times New Roman" w:hAnsi="Times New Roman"/>
          <w:b w:val="off"/>
          <w:i w:val="off"/>
          <w:sz w:val="22"/>
        </w:rPr>
        <w:t>Основные процессы непосредственно связаны с оказанием услуг ремонта, а вспомогательные обеспечивают их выполнение. Критичность определена по влиянию остановки процесса на сроки выполнения заказов, финансовый результат и возможность продолжения работы предприятия.</w:t>
      </w:r>
    </w:p>
    <w:p w14:paraId="00000057">
      <w:pPr>
        <w:keepNext w:val="on"/>
        <w:spacing w:before="60" w:after="60" w:line="240" w:lineRule="auto"/>
        <w:jc w:val="left"/>
        <w:rPr/>
      </w:pPr>
      <w:r>
        <w:rPr>
          <w:rFonts w:ascii="Times New Roman" w:cs="Times New Roman" w:hAnsi="Times New Roman"/>
          <w:b w:val="off"/>
          <w:i/>
          <w:sz w:val="22"/>
        </w:rPr>
        <w:t xml:space="preserve">Таблица </w:t>
      </w:r>
      <w:r>
        <w:rPr>
          <w:rFonts w:ascii="Times New Roman" w:cs="Times New Roman" w:hAnsi="Times New Roman"/>
          <w:b w:val="off"/>
          <w:i/>
          <w:sz w:val="22"/>
          <w:lang w:val="ru-RU"/>
        </w:rPr>
        <w:t>1</w:t>
      </w:r>
      <w:r>
        <w:rPr>
          <w:rFonts w:ascii="Times New Roman" w:cs="Times New Roman" w:hAnsi="Times New Roman"/>
          <w:b w:val="off"/>
          <w:i/>
          <w:sz w:val="22"/>
        </w:rPr>
        <w:t xml:space="preserve"> – Спецификация бизнес-процессов предприятия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3240"/>
        <w:gridCol w:w="1656"/>
        <w:gridCol w:w="3528"/>
        <w:gridCol w:w="4392"/>
        <w:gridCol w:w="1440"/>
      </w:tblGrid>
      <w:tr>
        <w:trPr>
          <w:cantSplit w:val="on"/>
          <w:tblHeader w:val="on"/>
        </w:trPr>
        <w:tc>
          <w:tcPr>
            <w:cnfStyle w:val="1010000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58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Бизнес-процесс</w:t>
            </w:r>
          </w:p>
        </w:tc>
        <w:tc>
          <w:tcPr>
            <w:cnfStyle w:val="1000000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59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Тип процесса</w:t>
            </w:r>
          </w:p>
        </w:tc>
        <w:tc>
          <w:tcPr>
            <w:cnfStyle w:val="1000000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5A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Участники (акторы) процесса</w:t>
            </w:r>
          </w:p>
        </w:tc>
        <w:tc>
          <w:tcPr>
            <w:cnfStyle w:val="1000000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5B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Используемое программное обеспечение</w:t>
            </w:r>
          </w:p>
        </w:tc>
        <w:tc>
          <w:tcPr>
            <w:cnfStyle w:val="1000000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5C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Критичность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5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Приём и регистрация заявки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5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5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клиент; менеджер по работе с клиентами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6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веб-форма, телефония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6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6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Первичная диагностика изделия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6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6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приёмщик; мастер; инженер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6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электронные технологические карты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6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очень высокая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6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Расчёт стоимости и формирование сметы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6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6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мастер; менеджер; клиент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6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офисный пакет, ЭДО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6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6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Согласование стоимости и сроков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6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6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менеджер; клиент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6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электронная почта, телефония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7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7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Планирование и распределение ремонтных работ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7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7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диспетчер; производственный руководитель; мастер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7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система заданий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7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7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Выполнение ремонтных и восстановительных работ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7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мастера ремонтных участков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7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электронные технологические карты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7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очень высокая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7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Контроль качества выполненного ремонта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7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7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инженер контроля качества; мастер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7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электронные чек-листы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7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очень 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8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Выдача заказа и расчёт с клиентом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8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8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менеджер; оператор расчётов; клиент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8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кассовый модуль, ЭДО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8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8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Выездной ремонт на территории клиента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8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8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выездной мастер; инженер; водитель; клиент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8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ERP/CRM, карты, связь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8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8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Закупка материалов и запасных частей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8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8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специалист по закупкам; поставщик; склад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8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ЭДО, электронная почта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8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8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Складской учёт материалов и запасных частей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9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9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заведующий складом; кладовщик; оператор учёта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9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WMS-модуль ERP/CRM, ТСД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9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9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Обслуживание оборудования и инструмента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9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9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инженерно-технологический отдел; АХО; мастера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9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система заявок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9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средняя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9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Бухгалтерский и налоговый учёт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9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9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бухгалтерия; руководство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9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учётный модуль ERP, банк-клиент, ЭДО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9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9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Управление персоналом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9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A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отдел кадров; руководители подразделений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A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кадровый модуль ERP, ЭДО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A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средняя</w:t>
            </w:r>
          </w:p>
        </w:tc>
      </w:tr>
      <w:tr>
        <w:trPr>
          <w:cantSplit w:val="on"/>
        </w:trPr>
        <w:tc>
          <w:tcPr>
            <w:cnfStyle w:val="00100010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A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ИТ-поддержка, резервное копирование и управление доступом</w:t>
            </w:r>
          </w:p>
        </w:tc>
        <w:tc>
          <w:tcPr>
            <w:cnfStyle w:val="00000010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A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10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A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ИТ-специалисты; все сотрудники</w:t>
            </w:r>
          </w:p>
        </w:tc>
        <w:tc>
          <w:tcPr>
            <w:cnfStyle w:val="00000010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A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Service Desk, Zabbix, средства резервного копирования</w:t>
            </w:r>
          </w:p>
        </w:tc>
        <w:tc>
          <w:tcPr>
            <w:cnfStyle w:val="00000010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A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высокая</w:t>
            </w:r>
          </w:p>
        </w:tc>
      </w:tr>
      <w:tr>
        <w:trPr>
          <w:cantSplit w:val="on"/>
        </w:trPr>
        <w:tc>
          <w:tcPr>
            <w:cnfStyle w:val="001000010000"/>
            <w:tcW w:w="3240" w:type="dxa"/>
            <w:tcMar>
              <w:top w:w="70" w:type="dxa"/>
              <w:bottom w:w="70" w:type="dxa"/>
            </w:tcMar>
            <w:vAlign w:val="center"/>
          </w:tcPr>
          <w:p w14:paraId="000000A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Административно-хозяйственное обеспечение и безопасность</w:t>
            </w:r>
          </w:p>
        </w:tc>
        <w:tc>
          <w:tcPr>
            <w:cnfStyle w:val="000000010000"/>
            <w:tcW w:w="1656" w:type="dxa"/>
            <w:tcMar>
              <w:top w:w="70" w:type="dxa"/>
              <w:bottom w:w="70" w:type="dxa"/>
            </w:tcMar>
            <w:vAlign w:val="center"/>
          </w:tcPr>
          <w:p w14:paraId="000000A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вспомогательный</w:t>
            </w:r>
          </w:p>
        </w:tc>
        <w:tc>
          <w:tcPr>
            <w:cnfStyle w:val="000000010000"/>
            <w:tcW w:w="3528" w:type="dxa"/>
            <w:tcMar>
              <w:top w:w="70" w:type="dxa"/>
              <w:bottom w:w="70" w:type="dxa"/>
            </w:tcMar>
            <w:vAlign w:val="center"/>
          </w:tcPr>
          <w:p w14:paraId="000000A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АХО; служба безопасности; охрана труда</w:t>
            </w:r>
          </w:p>
        </w:tc>
        <w:tc>
          <w:tcPr>
            <w:cnfStyle w:val="000000010000"/>
            <w:tcW w:w="4392" w:type="dxa"/>
            <w:tcMar>
              <w:top w:w="70" w:type="dxa"/>
              <w:bottom w:w="70" w:type="dxa"/>
            </w:tcMar>
            <w:vAlign w:val="center"/>
          </w:tcPr>
          <w:p w14:paraId="000000A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сервис заявок, СКУД, видеонаблюдение</w:t>
            </w:r>
          </w:p>
        </w:tc>
        <w:tc>
          <w:tcPr>
            <w:cnfStyle w:val="000000010000"/>
            <w:tcW w:w="1440" w:type="dxa"/>
            <w:tcMar>
              <w:top w:w="70" w:type="dxa"/>
              <w:bottom w:w="70" w:type="dxa"/>
            </w:tcMar>
            <w:vAlign w:val="center"/>
          </w:tcPr>
          <w:p w14:paraId="000000A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средняя</w:t>
            </w:r>
          </w:p>
        </w:tc>
      </w:tr>
    </w:tbl>
    <w:p w14:paraId="000000AD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5. Спецификация пользователей</w:t>
      </w:r>
    </w:p>
    <w:p w14:paraId="000000AE">
      <w:pPr>
        <w:spacing w:before="0" w:after="0" w:line="276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4"/>
        </w:rPr>
        <w:t>На основании организационной структуры сформирована спецификация пользователей. Внутренние пользователи соответствуют общей численности 983 сотрудников. Дополнительно учтены 955 внешних пользователей по параметру P12: в проектной модели это 900 клиентов и 55 представителей поставщиков. Для рабочих мест предусмотрены индивидуальные ПК, общие производственные терминалы, ТСД и мобильные устройства в зависимости от роли.</w:t>
      </w:r>
    </w:p>
    <w:p w14:paraId="000000AF">
      <w:pPr>
        <w:keepNext w:val="on"/>
        <w:spacing w:before="60" w:after="60" w:line="240" w:lineRule="auto"/>
        <w:jc w:val="left"/>
        <w:rPr/>
      </w:pPr>
      <w:r>
        <w:rPr>
          <w:rFonts w:ascii="Times New Roman" w:cs="Times New Roman" w:hAnsi="Times New Roman"/>
          <w:b w:val="off"/>
          <w:i/>
          <w:sz w:val="22"/>
        </w:rPr>
        <w:t xml:space="preserve">Таблица </w:t>
      </w:r>
      <w:r>
        <w:rPr>
          <w:rFonts w:ascii="Times New Roman" w:cs="Times New Roman" w:hAnsi="Times New Roman"/>
          <w:b w:val="off"/>
          <w:i/>
          <w:sz w:val="22"/>
          <w:lang w:val="ru-RU"/>
        </w:rPr>
        <w:t>2</w:t>
      </w:r>
      <w:r>
        <w:rPr>
          <w:rFonts w:ascii="Times New Roman" w:cs="Times New Roman" w:hAnsi="Times New Roman"/>
          <w:b w:val="off"/>
          <w:i/>
          <w:sz w:val="22"/>
        </w:rPr>
        <w:t xml:space="preserve"> – Спецификация пользователей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2664"/>
        <w:gridCol w:w="1008"/>
        <w:gridCol w:w="3168"/>
        <w:gridCol w:w="2304"/>
        <w:gridCol w:w="4104"/>
        <w:gridCol w:w="2448"/>
      </w:tblGrid>
      <w:tr>
        <w:trPr>
          <w:cantSplit w:val="on"/>
          <w:tblHeader w:val="on"/>
        </w:trPr>
        <w:tc>
          <w:tcPr>
            <w:cnfStyle w:val="1010000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B0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Тип пользователя</w:t>
            </w:r>
          </w:p>
        </w:tc>
        <w:tc>
          <w:tcPr>
            <w:cnfStyle w:val="1000000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B1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Количество</w:t>
            </w:r>
          </w:p>
        </w:tc>
        <w:tc>
          <w:tcPr>
            <w:cnfStyle w:val="1000000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B2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Участие в бизнес-процессах</w:t>
            </w:r>
          </w:p>
        </w:tc>
        <w:tc>
          <w:tcPr>
            <w:cnfStyle w:val="1000000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B3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Используемый интерфейс</w:t>
            </w:r>
          </w:p>
        </w:tc>
        <w:tc>
          <w:tcPr>
            <w:cnfStyle w:val="1000000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B4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Требования к ПО на рабочем месте</w:t>
            </w:r>
          </w:p>
        </w:tc>
        <w:tc>
          <w:tcPr>
            <w:cnfStyle w:val="1000000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B5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b/>
                <w:sz w:val="20"/>
                <w:szCs w:val="20"/>
              </w:rPr>
              <w:t>Расположение рабочего места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B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Руководство и аппарат управления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B7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8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B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Управление компанией, контроль финансов и ключевых процессов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B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ПК/ноутбук, смартфон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B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LibreOffice; Firefox; Nextcloud;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B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B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Производственные руководители и диспетчеры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BD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B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Планирование ремонта, распределение работ, контроль сроков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B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ПК/ноутбук, смартфон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C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LibreOffice; Firefox;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C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C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Мастера и ремонтные специалисты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C3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400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C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Диагностика, ремонт, фиксация выполненных операций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C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Общий промышленный терминал/планшет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C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ERP/CRM; электронные технологические карты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C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C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Инженеры контроля качества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C9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40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C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Контроль результатов ремонта, оформление заключений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C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ПК, планшет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C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электронные чек-листы; LibreOffice; Firefox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C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C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Менеджеры по работе с клиентами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CF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65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D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Приём заявок, согласование стоимости и сроков, выдача заказов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D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ПК, IP-телефон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D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LibreOffice; Firefox; Nextcloud;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D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D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Специалисты по закупкам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D5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35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D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Закупка материалов и запасных частей, работа с поставщиками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D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D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ЭДО; LibreOffice; Firefox;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D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D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Бухгалтеры и финансисты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DB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30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D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Бухгалтерский и налоговый учёт, расчёты, платежи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D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D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банк-клиент; LibreOffice; Firefox;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D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E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Специалисты отдела кадров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E1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22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E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Кадровый учёт и оформление документов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E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E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ЭДО; LibreOffice; Firefox;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E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E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ИТ-специалисты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E7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28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E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Поддержка пользователей, мониторинг, управление серверами и доступом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E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E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Firefox; Zabbix; Ansible; SSH; Nextcloud;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E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E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Сотрудники АХО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ED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45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E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Обеспечение помещений, инструмента и расходных материалов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E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Общий ПК/терминал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F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сервис заявок; Firefox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F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F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Сотрудники службы безопасности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F3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25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F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Контроль доступа и физической безопасности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F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АРМ охраны/общий ПК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F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СКУД; видеонаблюдение; Firefox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F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F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Логисты и транспортные координаторы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F9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0F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Организация перемещений материалов и выездных работ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0F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0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карты; LibreOffice; Firefox;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0F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0F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Юристы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0FF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8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0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Договорная и претензионная работа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0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0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ЭДО; LibreOffice; Firefox;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0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0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Инженеры-технологи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05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40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0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Подготовка технологических карт и технической документации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0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ПК/рабочая станция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0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FreeCAD; LibreOffice; Nextcloud;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0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0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Специалисты по охране труда и пожарной безопасности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0B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19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0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Инструктажи, контроль требований охраны труда и ПБ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0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ПК/ноутбук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0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LibreOffice; Firefox;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0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Основное здание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1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Руководители и менеджеры точек присутствия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11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30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1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Организация работы точки, приём/выдача заказов, связь с клиентами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1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1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кассовый модуль; LibreOffice; Firefox; Яндекс 360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1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Точки присутствия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1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Операторы и специалисты диагностики точек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17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25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1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Оформление расчётов, первичная диагностика, регистрация состояния изделия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1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ПК/планшет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1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ERP/CRM; кассовый модуль; электронные чек-листы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1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Точки присутствия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1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Кладовщики и вспомогательный персонал точек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1D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10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1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Учёт и временное хранение изделий и материалов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1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ТСД/общий терминал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2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ERP/CRM, WMS-модуль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2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Точки присутствия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2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Заведующие складами и операторы складского учёта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23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12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2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Приёмка, выдача, перемещения и учёт материалов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25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ПК/терминал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2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ERP/CRM, WMS-модуль; Firefox; Яндекс 360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2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Склады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2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Кладовщики и комплектовщики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29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60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2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Размещение, подбор и выдача материалов и запчастей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2B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ТСД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2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ERP/CRM, WMS-модуль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2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Склады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2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Грузчики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2F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12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3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Погрузочно-разгрузочные операции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31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Общий ТСД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32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WMS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3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Склады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Выездные мастера и инженеры диагностики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35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23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36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Диагностика и ремонт на территории клиента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3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Защищённый планшет/смартфон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38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ERP/CRM; технологические карты; карты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39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Вне офиса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3A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Водители/курьеры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3B">
            <w:pPr>
              <w:spacing w:before="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6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3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Доставка изделий и материалов, сопровождение выездных бригад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3D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Смартфон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3E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Мобильный клиент ERP/CRM; карты; корпоративная связь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3F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sz w:val="20"/>
                <w:szCs w:val="20"/>
              </w:rPr>
              <w:t>Вне офиса</w:t>
            </w:r>
          </w:p>
        </w:tc>
      </w:tr>
      <w:tr>
        <w:trPr>
          <w:cantSplit w:val="on"/>
        </w:trPr>
        <w:tc>
          <w:tcPr>
            <w:cnfStyle w:val="00100001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40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Клиенты</w:t>
            </w:r>
          </w:p>
        </w:tc>
        <w:tc>
          <w:tcPr>
            <w:cnfStyle w:val="00000001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41">
            <w:pPr>
              <w:spacing w:before="0" w:after="0" w:line="240" w:lineRule="auto"/>
              <w:jc w:val="center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900</w:t>
            </w:r>
          </w:p>
        </w:tc>
        <w:tc>
          <w:tcPr>
            <w:cnfStyle w:val="00000001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42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Создание заявки, согласование работ, получение статуса заказа</w:t>
            </w:r>
          </w:p>
        </w:tc>
        <w:tc>
          <w:tcPr>
            <w:cnfStyle w:val="00000001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43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Веб-интерфейс/смартфон</w:t>
            </w:r>
          </w:p>
        </w:tc>
        <w:tc>
          <w:tcPr>
            <w:cnfStyle w:val="00000001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44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Веб-портал клиента ERP/CRM</w:t>
            </w:r>
          </w:p>
        </w:tc>
        <w:tc>
          <w:tcPr>
            <w:cnfStyle w:val="00000001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45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Внешний пользователь</w:t>
            </w:r>
          </w:p>
        </w:tc>
      </w:tr>
      <w:tr>
        <w:trPr>
          <w:cantSplit w:val="on"/>
        </w:trPr>
        <w:tc>
          <w:tcPr>
            <w:cnfStyle w:val="001000100000"/>
            <w:tcW w:w="2664" w:type="dxa"/>
            <w:tcMar>
              <w:top w:w="70" w:type="dxa"/>
              <w:bottom w:w="70" w:type="dxa"/>
            </w:tcMar>
            <w:vAlign w:val="center"/>
          </w:tcPr>
          <w:p w14:paraId="00000146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Представители поставщиков</w:t>
            </w:r>
          </w:p>
        </w:tc>
        <w:tc>
          <w:tcPr>
            <w:cnfStyle w:val="000000100000"/>
            <w:tcW w:w="1008" w:type="dxa"/>
            <w:tcMar>
              <w:top w:w="70" w:type="dxa"/>
              <w:bottom w:w="70" w:type="dxa"/>
            </w:tcMar>
            <w:vAlign w:val="center"/>
          </w:tcPr>
          <w:p w14:paraId="00000147">
            <w:pPr>
              <w:spacing w:before="0" w:after="0" w:line="240" w:lineRule="auto"/>
              <w:jc w:val="center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55</w:t>
            </w:r>
          </w:p>
        </w:tc>
        <w:tc>
          <w:tcPr>
            <w:cnfStyle w:val="000000100000"/>
            <w:tcW w:w="3168" w:type="dxa"/>
            <w:tcMar>
              <w:top w:w="70" w:type="dxa"/>
              <w:bottom w:w="70" w:type="dxa"/>
            </w:tcMar>
            <w:vAlign w:val="center"/>
          </w:tcPr>
          <w:p w14:paraId="00000148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Обмен заказами и документами по материалам и запасным частям</w:t>
            </w:r>
          </w:p>
        </w:tc>
        <w:tc>
          <w:tcPr>
            <w:cnfStyle w:val="000000100000"/>
            <w:tcW w:w="2304" w:type="dxa"/>
            <w:tcMar>
              <w:top w:w="70" w:type="dxa"/>
              <w:bottom w:w="70" w:type="dxa"/>
            </w:tcMar>
            <w:vAlign w:val="center"/>
          </w:tcPr>
          <w:p w14:paraId="00000149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Веб-интерфейс/ПК</w:t>
            </w:r>
          </w:p>
        </w:tc>
        <w:tc>
          <w:tcPr>
            <w:cnfStyle w:val="000000100000"/>
            <w:tcW w:w="4104" w:type="dxa"/>
            <w:tcMar>
              <w:top w:w="70" w:type="dxa"/>
              <w:bottom w:w="70" w:type="dxa"/>
            </w:tcMar>
            <w:vAlign w:val="center"/>
          </w:tcPr>
          <w:p w14:paraId="0000014A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B2B-портал/ЭДО</w:t>
            </w:r>
          </w:p>
        </w:tc>
        <w:tc>
          <w:tcPr>
            <w:cnfStyle w:val="000000100000"/>
            <w:tcW w:w="2448" w:type="dxa"/>
            <w:tcMar>
              <w:top w:w="70" w:type="dxa"/>
              <w:bottom w:w="70" w:type="dxa"/>
            </w:tcMar>
            <w:vAlign w:val="center"/>
          </w:tcPr>
          <w:p w14:paraId="0000014B">
            <w:pPr>
              <w:spacing w:before="0" w:after="0" w:line="240" w:lineRule="auto"/>
              <w:jc w:val="left"/>
              <w:rPr>
                <w:color w:val="000000" w:themeColor="dk1"/>
                <w:sz w:val="20"/>
                <w:szCs w:val="20"/>
              </w:rPr>
            </w:pPr>
            <w:r>
              <w:rPr>
                <w:rFonts w:ascii="Times New Roman" w:cs="Times New Roman" w:hAnsi="Times New Roman"/>
                <w:color w:val="000000" w:themeColor="dk1"/>
                <w:sz w:val="20"/>
                <w:szCs w:val="20"/>
              </w:rPr>
              <w:t>Внешний пользователь</w:t>
            </w:r>
          </w:p>
        </w:tc>
      </w:tr>
    </w:tbl>
    <w:p w14:paraId="0000014C">
      <w:pPr>
        <w:rPr/>
        <w:sectPr>
          <w:footnotePr/>
          <w:pgSz w:w="16838" w:h="11906" w:orient="landscape"/>
          <w:pgMar w:top="792" w:right="648" w:bottom="792" w:left="648" w:header="708" w:footer="708" w:gutter="0"/>
          <w:paperSrc w:first="1" w:other="1"/>
          <w:cols w:equalWidth="1" w:space="720" w:num="1" w:sep="0"/>
        </w:sectPr>
      </w:pPr>
    </w:p>
    <w:p w14:paraId="0000014D">
      <w:pPr>
        <w:keepNext w:val="on"/>
        <w:spacing w:before="120" w:after="60" w:line="360" w:lineRule="auto"/>
        <w:jc w:val="left"/>
        <w:rPr/>
      </w:pPr>
      <w:r>
        <w:rPr>
          <w:rFonts w:ascii="Times New Roman" w:cs="Times New Roman" w:hAnsi="Times New Roman"/>
          <w:b/>
          <w:i w:val="off"/>
          <w:sz w:val="28"/>
        </w:rPr>
        <w:t>Вывод</w:t>
      </w:r>
    </w:p>
    <w:p w14:paraId="0000014E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В ходе практической работы была описана предметная область предприятия по ремонту предметов и изделий из металла, определена его организационная структура и выполнено проектное распределение сотрудников в соответствии с параметрами P1–P8. В структуре отсутствуют филиалы, при этом предусмотрены 5 точек присутствия, 6 складов и 29 сотрудников, работающих вне офиса. Общая численность внутренних сотрудников составляет 983 человека; дополнительно учитываются 955 внешних пользователей информационных систем.</w:t>
      </w:r>
    </w:p>
    <w:p w14:paraId="0000014F">
      <w:pPr>
        <w:spacing w:before="0" w:after="0" w:line="360" w:lineRule="auto"/>
        <w:ind w:firstLine="709"/>
        <w:jc w:val="both"/>
        <w:rPr/>
      </w:pPr>
      <w:r>
        <w:rPr>
          <w:rFonts w:ascii="Times New Roman" w:cs="Times New Roman" w:hAnsi="Times New Roman"/>
          <w:b w:val="off"/>
          <w:i w:val="off"/>
          <w:sz w:val="28"/>
        </w:rPr>
        <w:t>Для предприятия выделены основные процессы приёма заказа, диагностики, расчёта стоимости, выполнения ремонта, контроля качества, выдачи заказа и выездного ремонта, а также вспомогательные процессы закупок, складского учёта, бухгалтерии, кадрового учёта, ИТ-поддержки и административного обеспечения. Полученная спецификация пользователей используется далее при выборе программного обеспечения и расчёте количества лицензий.</w:t>
      </w:r>
    </w:p>
    <w:p w14:paraId="00000150">
      <w:r>
        <w:rPr/>
        <w:br w:type="page"/>
      </w:r>
    </w:p>
    <w:p>
      <w:pPr>
        <w:pStyle w:val="Heading1"/>
        <w:pageBreakBefore/>
      </w:pPr>
      <w:r>
        <w:t>Практическая работа №2</w:t>
      </w:r>
    </w:p>
    <w:p>
      <w:pPr>
        <w:spacing w:after="80" w:line="264" w:lineRule="auto"/>
      </w:pPr>
      <w:r>
        <w:rPr>
          <w:b/>
        </w:rPr>
        <w:t>Программное обеспечение, совместимость и лицензии</w:t>
      </w:r>
    </w:p>
    <w:p>
      <w:pPr>
        <w:pStyle w:val="Heading2"/>
      </w:pPr>
      <w:r>
        <w:t>Цель и исходные данные</w:t>
      </w:r>
    </w:p>
    <w:p>
      <w:pPr>
        <w:spacing w:after="80" w:line="264" w:lineRule="auto"/>
      </w:pPr>
      <w:r>
        <w:rPr>
          <w:b w:val="0"/>
        </w:rPr>
        <w:t>Подобрать конкретные программные продукты и согласовать их установки, лицензии и требования к ресурсам с расчётами ПР3–4. Параметры ПР1 сохранены: 983 внутренних сотрудника, 955 внешних пользователей, всего 1 938 учётных записей; P9 = 3 вычислительные площадки. Приняты 432 стационарных/общих АРМ и 205 мобильных устройств. Устройства и пользователи учитываются раздельно.</w:t>
      </w:r>
    </w:p>
    <w:p>
      <w:pPr>
        <w:pStyle w:val="Heading2"/>
      </w:pPr>
      <w:r>
        <w:t>1. Конкретная ERP/CRM и её функциональные границы</w:t>
      </w:r>
    </w:p>
    <w:p>
      <w:pPr>
        <w:spacing w:after="80" w:line="264" w:lineRule="auto"/>
      </w:pPr>
      <w:r>
        <w:rPr>
          <w:b w:val="0"/>
        </w:rPr>
        <w:t>Вместо условной собственной системы «МеталлСервис ERP/CRM» выбрана Odoo 18 Community (LGPLv3). Используются CRM, Sales, Purchase, Inventory, Repairs, Manufacturing, Maintenance, Project, Employees, Website/Portal. Repairs обеспечивает ремонтные заказы и расход материалов; Sales — согласование стоимости через коммерческое предложение; Inventory и Purchase — запасы и закупки; CRM и Portal — работу с обращениями и внешними контрагентами. Технологические карты и заключения качества оформляются как связанные документы и вложения. Enterprise-модули Quality, Field Service, Barcode и полноценная WMS в бесплатную поставку не включаются и в расчёт не закладываются.</w:t>
      </w:r>
    </w:p>
    <w:p>
      <w:pPr>
        <w:spacing w:after="80" w:line="264" w:lineRule="auto"/>
      </w:pPr>
      <w:r>
        <w:rPr>
          <w:b w:val="0"/>
        </w:rPr>
        <w:t>Выездные задания ведутся в Project и Repairs; мобильный доступ — через адаптивный веб-интерфейс Odoo в браузере Android. Несуществующий продукт «МеталлСервис Mobile 1.0» исключён. Доступ онлайн, через HTTPS/VPN; автономная работа без связи не заявляется. ТСД вводят коды как клавиатурный сканер; специализированный мобильный WMS-клиент не предполагается.</w:t>
      </w:r>
    </w:p>
    <w:p>
      <w:pPr>
        <w:spacing w:after="80" w:line="264" w:lineRule="auto"/>
      </w:pPr>
      <w:r>
        <w:rPr>
          <w:b w:val="0"/>
        </w:rPr>
        <w:t>Odoo Community в этом проекте не заменяет российский регламентированный бухгалтерский учёт и расчёт зарплаты. Для 30 бухгалтеров и 22 кадровиков предусматриваются отдельные облачные приложения «1С:Бухгалтерия» и «1С:ЗУП» в сервисе 1С:Фреш (52 персональных доступа; состав тарифа и допустимая одновременность — по договору). Обмен с Odoo через выгрузки и проверяемое сопоставление справочников является работой внедрения, готовая интеграция не заявляется. Employees используется для справочника сотрудников.</w:t>
      </w:r>
    </w:p>
    <w:p>
      <w:pPr>
        <w:spacing w:after="80" w:line="264" w:lineRule="auto"/>
      </w:pPr>
      <w:r>
        <w:rPr>
          <w:b w:val="0"/>
        </w:rPr>
        <w:t>Сервер Odoo 18 размещается на Debian 12: эта ОС прямо указана в официальной документации пакетной установки Odoo 18. Клиентские АРМ сохраняют Debian 13 и работают через Firefox ESR; поддержка пакета Odoo на сервере Debian 13 не предполагается. PostgreSQL 15 выбран как штатная ветка Debian 12. Установка серверов и приложения в рамках отчёта не выполнялась: здесь проектируется инфраструктура.</w:t>
      </w:r>
    </w:p>
    <w:p>
      <w:pPr>
        <w:pStyle w:val="Heading2"/>
      </w:pPr>
      <w:r>
        <w:t>2. Требования ERP: источник и расчётная нагрузка</w:t>
      </w:r>
    </w:p>
    <w:p>
      <w:pPr>
        <w:spacing w:after="80" w:line="264" w:lineRule="auto"/>
      </w:pPr>
      <w:r>
        <w:rPr>
          <w:b w:val="0"/>
        </w:rPr>
        <w:t>Официальное руководство Odoo приводит оценку 1 HTTP worker примерно на 6 одновременных пользователей, ориентир числа workers = 2 × CPU + 1 и оценку памяти с долями лёгких/тяжёлых запросов 80/20. Это приближённая методика, а не гарантия производительности. Для учебного расчёта принят пик 100 одновременно активных пользователей (60 внутренних и 40 внешних); 1 938 зарегистрированных пользователей не считаются одновременно активными.</w:t>
      </w:r>
    </w:p>
    <w:p>
      <w:pPr>
        <w:spacing w:after="80" w:line="264" w:lineRule="auto"/>
      </w:pPr>
      <w:r>
        <w:rPr>
          <w:b w:val="0"/>
        </w:rPr>
        <w:t>Для пика 100 требуется ceil(100/6) = 17 HTTP workers. Ориентир по CPU для 16 vCPU: 2 × 16 + 1 = 33; 17 workers укладываются в него с местом для cron и фоновых задач. Оценка памяти workers: 17 × (0,8 × 150 + 0,2 × 1 024) = 5 521,6 МБ. Назначается 32 ГБ ОЗУ с учётом ОС, кэша, фоновых задач и разброса сложности запросов, 16 vCPU и 120 ГБ системного диска. База и файловые данные вынесены на СХД. PostgreSQL: проектно 12 vCPU / 48 ГБ / 300 ГБ системного тома; место для пользовательских данных рассчитывается в ПР4.</w:t>
      </w:r>
    </w:p>
    <w:p>
      <w:pPr>
        <w:spacing w:after="80" w:line="264" w:lineRule="auto"/>
      </w:pPr>
      <w:r>
        <w:rPr>
          <w:b w:val="0"/>
        </w:rPr>
        <w:t>Для приёмки необходим нагрузочный сценарий: 100 одновременных пользователей, создание/поиск ремонтного заказа, смета, резервирование материалов и запрос статуса в портале; целевой p95 интерактивного ответа ≤ 2 с, без ошибок записи. Проверяются CPU, RAM, задержки дисков и БД. До такого испытания рассчитанные ресурсы остаются проектными. При ином фактическом пике выполняется повторный sizing.</w:t>
      </w:r>
    </w:p>
    <w:p>
      <w:pPr>
        <w:pStyle w:val="Heading2"/>
      </w:pPr>
      <w:r>
        <w:t>3. Охранное ПО и окончательное место хранения видео</w:t>
      </w:r>
    </w:p>
    <w:p>
      <w:pPr>
        <w:spacing w:after="80" w:line="264" w:lineRule="auto"/>
      </w:pPr>
      <w:r>
        <w:rPr>
          <w:b w:val="0"/>
        </w:rPr>
        <w:t>«Интеллект» ITV исключён из Debian-АРМ: исходный отчёт не подтверждал совместимость его нативного клиента и сервера с Debian 13. Вместо утверждения о неподтверждённой совместимости выбран ZoneMinder 1.36 из репозитория Debian 12. Это Linux-сервер видеонаблюдения, доступный оператору через веб-интерфейс. На 15 общих АРМ охраны под Debian 13 устанавливается только Firefox ESR; 25 сотрудников работают посменно. Проверка декодирования H.264 и конкретных камер в браузере включается в приёмочные испытания.</w:t>
      </w:r>
    </w:p>
    <w:p>
      <w:pPr>
        <w:spacing w:after="80" w:line="264" w:lineRule="auto"/>
      </w:pPr>
      <w:r>
        <w:rPr>
          <w:b w:val="0"/>
        </w:rPr>
        <w:t>На каждой типовой площадке предусмотрены четыре одинаковых видеосервера по 8 vCPU, 16 ГБ ОЗУ, 80 ГБ системного диска; распределение каналов — 120 + 120 + 120 + 120 = 480. MariaDB и веб-компоненты ZoneMinder размещаются в этих же ВМ и включены в их ресурсы. Выбран режим непрерывной записи H.264 без перекодирования и без серверной аналитики движения. Поток 1 024 Кбит/с — расчётное среднее; включение аналитики или увеличение битрейта требует нового расчёта CPU и хранения.</w:t>
      </w:r>
    </w:p>
    <w:p>
      <w:pPr>
        <w:spacing w:after="80" w:line="264" w:lineRule="auto"/>
      </w:pPr>
      <w:r>
        <w:rPr>
          <w:b w:val="0"/>
        </w:rPr>
        <w:t>Окончательное решение: 30-суточный видеоархив хранится только в выделенном HDD-пуле СХД; локальных 500/640 ГБ под архив на АРМ нет. Запись идёт в подключённые к видеосерверам тома, без разделения архивного LUN между несколькими писателями. Во время штатной работы записывает К1, на К2–К3 передаются копии архива и согласованные копии конфигураций/БД. Резервные площадки имеют полный комплект видеосерверов и ёмкость на все камеры.</w:t>
      </w:r>
    </w:p>
    <w:p>
      <w:pPr>
        <w:spacing w:after="80" w:line="264" w:lineRule="auto"/>
      </w:pPr>
      <w:r>
        <w:rPr>
          <w:b w:val="0"/>
        </w:rPr>
        <w:t>ZoneMinder не заменяет СКУД. Для пропускного режима выбран отдельный автономный контур на контроллерах Iron Logic Z-5R с локальной базой ключей и программированием мастер-ключом; установка Windows-ПО и интеграция событий со службой видеонаблюдения не предусматриваются. Число дверей исходными параметрами не задано, поэтому количество контроллеров определяется отдельным планом точек прохода, а не числом сотрудников. Для видеонаблюдения, управления и доступа к СХД выделяются разные VLAN.</w:t>
      </w:r>
    </w:p>
    <w:p>
      <w:pPr>
        <w:keepNext/>
        <w:spacing w:after="80" w:line="264" w:lineRule="auto"/>
      </w:pPr>
      <w:r>
        <w:rPr>
          <w:b/>
        </w:rPr>
        <w:t>Таблица 2.1 — Прикладное ПО на АРМ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57"/>
        <w:gridCol w:w="5783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Продукт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Количество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Назначение и условия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Firefox ESR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432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Odoo, Nextcloud, почта, 1С:Фреш; на 15 АРМ охраны — ZoneMinder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LibreOffice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432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Офисные документы, открытая лицензия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Nextcloud Desktop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402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Персональные офисные АРМ; общие терминалы не синхронизируют личные папки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FreeCAD, поддерживаемый стабильный выпуск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Инженеры-технологи; без фиктивно точной версии из исходника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Браузер Android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205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Мобильный веб-доступ к Odoo; отдельного самописного клиента нет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ZoneMinder: веб-клиент</w:t>
            </w:r>
          </w:p>
        </w:tc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 общих АРМ / 25 сотрудников</w:t>
            </w:r>
          </w:p>
        </w:tc>
        <w:tc>
          <w:tcPr>
            <w:tcW w:type="dxa" w:w="578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Firefox на Debian 13; платных клиентских лицензий нет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pStyle w:val="Heading2"/>
      </w:pPr>
      <w:r>
        <w:t>4. Серверные установки и лицензии</w:t>
      </w:r>
    </w:p>
    <w:p>
      <w:pPr>
        <w:spacing w:after="80" w:line="264" w:lineRule="auto"/>
      </w:pPr>
      <w:r>
        <w:rPr>
          <w:b w:val="0"/>
        </w:rPr>
        <w:t>Под полной типовой площадкой понимается комплект, способный обслуживать всё предприятие: 12 ВМ и 3 физических узла. К1, К2, К3 имеют одинаковые состав, ресурсы и СХД. Приведённые ниже количества относятся к одной площадке и ко всем трём; активность резервного экземпляра не отменяет учёта его установки.</w:t>
      </w:r>
    </w:p>
    <w:p>
      <w:pPr>
        <w:keepNext/>
        <w:spacing w:after="80" w:line="264" w:lineRule="auto"/>
      </w:pPr>
      <w:r>
        <w:rPr>
          <w:b/>
        </w:rPr>
        <w:t>Таблица 2.2 — Серверное ПО и тиражирование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247"/>
        <w:gridCol w:w="1417"/>
        <w:gridCol w:w="4422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 / лицензия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 площадку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 3 площадки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Ресурсы / условия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Odoo 18 Community / LGPLv3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 vCPU / 32 ГБ / 120 ГБ; платных пользовательских лицензий Community нет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PostgreSQL 15 / PostgreSQL License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 / 48 / 300; отдельные базы сервисов, один сервер БД на площадку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Nextcloud / AGPLv3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/ 8 / 80; поддерживаемая ветка с PHP для Debian 13 и PostgreSQL 15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Zabbix 7.0 LTS / AGPLv3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/ 8 / 80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nginx + Keepalived / свободные лицензии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 одну ВМ 2 / 4 / 40; VIP только внутри площадки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Ansible Core / GPLv3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/ 4 / 40; резервное копирование управляется заданиями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ZoneMinder 1.36 / GPLv2; MariaDB 10.11 / GPLv2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 одну ВМ 8 / 16 / 80; MariaDB включена в эти ресурсы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Управляющая ВМ zVirt / условия поставщика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/ 16 / 80; включена в итог ВМ, не забыта как служебная нагрузка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Server / открытые лицензии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Debian 12 + 1 Debian 13 на площадку; appliance zVirt отдельно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zVirt / коммерческая подписка</w:t>
            </w:r>
          </w:p>
        </w:tc>
        <w:tc>
          <w:tcPr>
            <w:tcW w:type="dxa" w:w="124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физических узла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 физических узлов</w:t>
            </w:r>
          </w:p>
        </w:tc>
        <w:tc>
          <w:tcPr>
            <w:tcW w:type="dxa" w:w="44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Всего 18 CPU-сокетов; договор должен покрывать 9 хостов и управляющие ВМ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2.3 — Пользовательские и облачные лицензии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5102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Объект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Количество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Расчёт / ограничение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Desktop / Android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432 / 205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бесплатно; Android по поставке устройства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Яндекс 360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402 аккаунта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При допущении 279 ₽/мес.: 112 158 ₽/мес., 1 345 896 ₽/год; актуальный тариф требует КП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1С:Фреш: Бухгалтерия и ЗУП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 + 22 = 52 доступа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Коммерческая подписка; пакет, одновременные сеансы и стоимость по договору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Yandex Object Storage COLD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8 000 ГБ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Внешняя копия пользовательских и системных данных; хранение, запросы и выгрузки по актуальному тарифу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Yandex Compute Cloud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 постоянных ВМ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Две прежние неполные резервные ВМ исключены: полный резерв обеспечивают К2 и К3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Охранное ПО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 ZoneMinder, 15 веб-АРМ</w:t>
            </w:r>
          </w:p>
        </w:tc>
        <w:tc>
          <w:tcPr>
            <w:tcW w:type="dxa" w:w="51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Платных лицензий ZoneMinder нет; аппаратные контроллеры СКУД — отдельная спецификация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Бесплатная лицензия не означает нулевую стоимость внедрения, интеграции, поддержки и оборудования. Стоимость коммерческих продуктов не выдумывается: КП требуется для zVirt, 1С:Фреш и аппаратной части. Точный поддерживаемый релиз Nextcloud/PHP, FreeCAD и обновления безопасности фиксируются на этапе внедрения по матрице производителя.</w:t>
      </w:r>
    </w:p>
    <w:p>
      <w:pPr>
        <w:pStyle w:val="Heading2"/>
      </w:pPr>
      <w:r>
        <w:t>Вывод по ПР2</w:t>
      </w:r>
    </w:p>
    <w:p>
      <w:pPr>
        <w:spacing w:after="80" w:line="264" w:lineRule="auto"/>
      </w:pPr>
      <w:r>
        <w:rPr>
          <w:b w:val="0"/>
        </w:rPr>
        <w:t>Выбрана конкретная Odoo 18 Community, определены её функциональные границы и расчётная нагрузка. Неподтверждённая совместимость «Интеллект» с Debian заменена отдельным Linux-видеоконтуром и автономной СКУД. Для одной полной площадки необходимо 12 ВМ: 78 vCPU, 188 ГБ ОЗУ, 1 100 ГБ системных дисков; для трёх — 36 ВМ, 234 vCPU, 564 ГБ ОЗУ, 3 300 ГБ системных дисков. Пользовательские данные и видео в эти системные диски не входят и рассчитаны в ПР4.</w:t>
      </w:r>
    </w:p>
    <w:p>
      <w:pPr>
        <w:pStyle w:val="Heading1"/>
        <w:pageBreakBefore/>
      </w:pPr>
      <w:r>
        <w:t>Практическая работа №3</w:t>
      </w:r>
    </w:p>
    <w:p>
      <w:pPr>
        <w:spacing w:after="80" w:line="264" w:lineRule="auto"/>
      </w:pPr>
      <w:r>
        <w:rPr>
          <w:b/>
        </w:rPr>
        <w:t>Типовые АРМ и одна полная вычислительная площадка</w:t>
      </w:r>
    </w:p>
    <w:p>
      <w:pPr>
        <w:pStyle w:val="Heading2"/>
      </w:pPr>
      <w:r>
        <w:t>Цель и принятая модель</w:t>
      </w:r>
    </w:p>
    <w:p>
      <w:pPr>
        <w:spacing w:after="80" w:line="264" w:lineRule="auto"/>
      </w:pPr>
      <w:r>
        <w:rPr>
          <w:b w:val="0"/>
        </w:rPr>
        <w:t>Рассчитать аппаратные ресурсы одной полной типовой площадки с 20% свободного резерва и отказом одного физического узла, затем тиражировать её в К1–К3 без распределения неполных ролей. Параметры ПР1 и количество устройств сохранены. Количество ВМ в карточке ниже относится к одной площадке, а не ко всему предприятию.</w:t>
      </w:r>
    </w:p>
    <w:p>
      <w:pPr>
        <w:pStyle w:val="Heading2"/>
      </w:pPr>
      <w:r>
        <w:t>1. Объединённые карточки АРМ</w:t>
      </w:r>
    </w:p>
    <w:p>
      <w:pPr>
        <w:spacing w:after="80" w:line="264" w:lineRule="auto"/>
      </w:pPr>
      <w:r>
        <w:rPr>
          <w:b w:val="0"/>
        </w:rPr>
        <w:t>Одинаковые требования объединены в шесть профилей. Перечень категорий пользователей ПР1 остаётся исходным; профиль определяет оборудование, а персональные права выдаются по роли. У офисных сотрудников 402 персональных ПК, из них 40 инженерных; АХО и охрана используют по 15 общих ПК. 511 мобильных сотрудников обслуживаются 205 устройствами посменно. 955 внешних пользователей используют собственные устройства и в закупку АРМ не входят.</w:t>
      </w:r>
    </w:p>
    <w:p>
      <w:pPr>
        <w:keepNext/>
        <w:spacing w:after="80" w:line="264" w:lineRule="auto"/>
      </w:pPr>
      <w:r>
        <w:rPr>
          <w:b/>
        </w:rPr>
        <w:t>Таблица 3.1 — Карточка АРМ: Офисный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362 пользователя / 362 ПК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13; Firefox, LibreOffice, Nextcloud; Odoo и облачные сервисы по роли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ядра x86-64; 8 ГБ; SSD 64 ГБ; встроенная GPU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ПК/ноутбук, Ethernet 1 Гбит/с или Wi-Fi; VPN вне предприятия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3.2 — Карточка АРМ: Инженерный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 технологов / 40 ПК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13; офисный набор + FreeCAD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ядра x86-64; 16 ГБ; SSD 128 ГБ; GPU с поддержкой OpenGL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Рабочая станция; Ethernet 1 Гбит/с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3.3 — Карточка АРМ: Общий терминал АХО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45 сотрудников / 15 ПК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13; Firefox, LibreOffice; Odoo/заявки через веб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ядра x86-64; 4 ГБ; SSD 64 ГБ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Общий ПК; Ethernet 1 Гбит/с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3.4 — Карточка АРМ: АРМ охраны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25 сотрудников / 15 ПК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13; Firefox, LibreOffice; веб-клиент ZoneMinder. Локального архива нет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ядра x86-64; 16 ГБ; SSD 64 ГБ; аппаратное декодирование H.264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ПК; Ethernet 1 Гбит/с, VLAN охраны; одновременно до 4 полноразмерных потоков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3.5 — Карточка АРМ: Мобильный/ТСД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511 сотрудников / 205 устройств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Android 14+; браузер Odoo, карты; сканер ТСД в режиме клавиатуры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ARM-ядра; 4 ГБ; 32 ГБ; встроенная графика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Планшет, ТСД, смартфон; Wi-Fi/сотовая сеть, HTTPS/VPN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keepNext/>
        <w:spacing w:after="80" w:line="264" w:lineRule="auto"/>
      </w:pPr>
      <w:r>
        <w:rPr>
          <w:b/>
        </w:rPr>
        <w:t>Таблица 3.6 — Карточка АРМ: Внешний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7030"/>
      </w:tblGrid>
      <w:tr>
        <w:trPr>
          <w:tblHeader/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Пользователи и количество устройств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900 клиентов + 55 поставщиков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ОС и ПО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Собственная ОС и современный браузер; портал Odoo/ЭДО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CPU / RAM / диск / GPU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От 2 ядер; 4 ГБ; 2 ГБ свободно для браузера и файлов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Форм-фактор и связь</w:t>
            </w:r>
          </w:p>
        </w:tc>
        <w:tc>
          <w:tcPr>
            <w:tcW w:type="dxa" w:w="703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Собственное устройство; Интернет, HTTPS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Офисный профиль: руководство 8, диспетчеры 20, контроль качества 40, менеджеры 65, закупки 35, бухгалтерия 30, кадры 22, ИТ 28, логисты 20, юристы 8, охрана труда 19, руководители/менеджеры точек 30, операторы точек 25, заведующие складами и операторы 12; всего 362. Инженерный профиль — 40 технологов. Мобильный профиль: ремонтники 400, персонал точек 10, кладовщики/комплектовщики 60, грузчики 12, выездные мастера 23, водители 6; всего 511. Проверка пользователей: 362 + 40 + 45 + 25 + 511 = 983.</w:t>
      </w:r>
    </w:p>
    <w:p>
      <w:pPr>
        <w:spacing w:after="80" w:line="264" w:lineRule="auto"/>
      </w:pPr>
      <w:r>
        <w:rPr>
          <w:b w:val="0"/>
        </w:rPr>
        <w:t>Распределение мобильных устройств: ремонтники — 140, точки — 8, складские комплектовщики — 24, грузчики — 4, выездные мастера — 23, водители — 6; всего 205. Общие устройства выдаются по сменам, пользовательские учётные записи не разделяются. Проверка стационарных устройств: 362 + 40 + 15 + 15 = 432; всех корпоративных устройств — 637.</w:t>
      </w:r>
    </w:p>
    <w:p>
      <w:pPr>
        <w:spacing w:after="80" w:line="264" w:lineRule="auto"/>
      </w:pPr>
      <w:r>
        <w:rPr>
          <w:b w:val="0"/>
        </w:rPr>
        <w:t>Объём диска АРМ выбирается с 20% свободной ёмкостью: офис (32 ГБ ОС + 4 ГБ ПО + 8 ГБ кэша/документов)/0,8 = 55 ГБ → 64 ГБ; инженер (32 + 9 + 24)/0,8 = 81,25 ГБ → 128 ГБ; общий терминал (24 + 4 + 8)/0,8 = 45 ГБ → 64 ГБ; охрана (32 + 4 + 8)/0,8 = 55 ГБ → 64 ГБ. Архив видео на АРМ равен нулю. Мобильное устройство (12 + 1 + 4)/0,8 = 21,25 ГБ → 32 ГБ. ОЗУ — проектная оценка одновременной работы ОС и приложений; сложные CAD-модели и дополнительные видеопотоки требуют отдельного испытания.</w:t>
      </w:r>
    </w:p>
    <w:p>
      <w:pPr>
        <w:pStyle w:val="Heading2"/>
      </w:pPr>
      <w:r>
        <w:t>2. Виртуальные машины одной типовой площадки</w:t>
      </w:r>
    </w:p>
    <w:p>
      <w:pPr>
        <w:spacing w:after="80" w:line="264" w:lineRule="auto"/>
      </w:pPr>
      <w:r>
        <w:rPr>
          <w:b w:val="0"/>
        </w:rPr>
        <w:t>Во всех таблицах ресурсы указаны на ВМ. Системные тома содержат ОС, ПО и служебные данные; общий объём 1 100 ГБ. Пользовательские файлы, базы прикладных данных и 30-суточный видеоархив размещаются в отдельных томах СХД. Резервные экземпляры К2–К3 получают те же размеры ВМ, даже когда соответствующие приложения остановлены.</w:t>
      </w:r>
    </w:p>
    <w:p>
      <w:pPr>
        <w:keepNext/>
        <w:spacing w:after="80" w:line="264" w:lineRule="auto"/>
      </w:pPr>
      <w:r>
        <w:rPr>
          <w:b/>
        </w:rPr>
        <w:t>Таблица 3.7 — Полная спецификация ВМ на каждой из К1, К2, К3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95"/>
        <w:gridCol w:w="1814"/>
        <w:gridCol w:w="737"/>
        <w:gridCol w:w="1191"/>
        <w:gridCol w:w="1984"/>
      </w:tblGrid>
      <w:tr>
        <w:trPr>
          <w:tblHeader/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ВМ / роль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ОС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vCPU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RAM, ГБ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Системный диск, ГБ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VM01 — Odoo 18 Community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VM02 — PostgreSQL 15: БД Odoo, Nextcloud, Zabbix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VM03 — Nextcloud Server, PHP, Redis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13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VM04 — Zabbix 7.0 LTS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VM05 — nginx, Keepalived — основной прокси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VM06 — nginx, Keepalived — резервный прокси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VM07 — Ansible Core, задания резервного копирования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VM08 — ZoneMinder 1.36, MariaDB — 120 камер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VM09 — ZoneMinder 1.36, MariaDB — 120 камер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VM10 — ZoneMinder 1.36, MariaDB — 120 камер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VM11 — ZoneMinder 1.36, MariaDB — 120 камер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Debian 12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VM12 — Управляющая ВМ zVirt (hosted engine)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Appliance поставщика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ИТОГО: 12 ВМ</w:t>
            </w:r>
          </w:p>
        </w:tc>
        <w:tc>
          <w:tcPr>
            <w:tcW w:type="dxa" w:w="181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78</w:t>
            </w:r>
          </w:p>
        </w:tc>
        <w:tc>
          <w:tcPr>
            <w:tcW w:type="dxa" w:w="11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188</w:t>
            </w:r>
          </w:p>
        </w:tc>
        <w:tc>
          <w:tcPr>
            <w:tcW w:type="dxa" w:w="198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1100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Резервирование БД внутри площадки обеспечивается перезапуском ВМ VM02 на другом физическом узле с тем же томом СХД; второй сервер PostgreSQL здесь не заявляется. Это даёт перерыв на обнаружение отказа и crash recovery, а не непрерывную доступность. Nextcloud и Zabbix используют отдельные базы на VM02. У ZoneMinder по собственной MariaDB в каждой записывающей ВМ. Прокси VM05/VM06 образуют пару с виртуальным IP; отказ прикладной ВМ не устраняется одним лишь наличием двух прокси.</w:t>
      </w:r>
    </w:p>
    <w:p>
      <w:pPr>
        <w:pStyle w:val="Heading2"/>
      </w:pPr>
      <w:r>
        <w:t>3. Число физических узлов: CPU, RAM, резерв N+1</w:t>
      </w:r>
    </w:p>
    <w:p>
      <w:pPr>
        <w:spacing w:after="80" w:line="264" w:lineRule="auto"/>
      </w:pPr>
      <w:r>
        <w:rPr>
          <w:b w:val="0"/>
        </w:rPr>
        <w:t>На одном физическом узле устанавливаются 2 × Intel Xeon Gold 6530: 32 физических ядра на CPU, 64 физических ядра на узел, базовая частота 2,1 ГГц, TDP 270 Вт на CPU. Hyper-Threading в расчёте не увеличивает доступное число ядер. Консервативно принят коэффициент 1 vCPU = 1 физическое ядро. На гипервизор и службы хоста зарезервированы 4 ядра и 16 ГБ ОЗУ, поэтому полезная ёмкость хоста — 60 ядер и 240 ГБ.</w:t>
      </w:r>
    </w:p>
    <w:p>
      <w:pPr>
        <w:spacing w:after="80" w:line="264" w:lineRule="auto"/>
      </w:pPr>
      <w:r>
        <w:rPr>
          <w:b w:val="0"/>
        </w:rPr>
        <w:t>20% резерв означает свободные 20% доступной ёмкости, поэтому требование делится на 0,8, а не просто умножается на 1,2. Одновременно предусматривается отказ одного узла. По CPU: nCPU = 1 + ceil(78 / (60 × 0,8)) = 3. По RAM: nRAM = 1 + ceil(188 / (240 × 0,8)) = 2. Итог n = max(3, 2) = 3 узла на площадку; диапазон «2–3» исключён.</w:t>
      </w:r>
    </w:p>
    <w:p>
      <w:pPr>
        <w:spacing w:after="80" w:line="264" w:lineRule="auto"/>
      </w:pPr>
      <w:r>
        <w:rPr>
          <w:b w:val="0"/>
        </w:rPr>
        <w:t>Проверка после отказа одного из трёх узлов: CPU 2 × 60 = 120 физических ядер, из них при сохранении 20% свободного резерва разрешено занять 96 ≥ 78 vCPU. RAM 2 × 240 = 480 ГБ, разрешено занять 384 ≥ 188 ГБ. VM12 управляющей системы включена в нагрузку. Условие N+1 соблюдается и при сохранении 20% резерва; одновременный отказ двух узлов этим расчётом не покрывается.</w:t>
      </w:r>
    </w:p>
    <w:p>
      <w:pPr>
        <w:keepNext/>
        <w:spacing w:after="80" w:line="264" w:lineRule="auto"/>
      </w:pPr>
      <w:r>
        <w:rPr>
          <w:b/>
        </w:rPr>
        <w:t>Таблица 3.8 — Окончательная конфигурация вычислительного узла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Выбранная конфигурация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Сервер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Dell PowerEdge R760, 2U, двухсокетный; по 3 одинаковых сервера на площадку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Процессоры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× Intel Xeon Gold 6530, 32 ядра, 2,1 ГГц, 270 Вт каждый; 64 ядра / 540 Вт CPU на узел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ОЗУ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256 ГБ DDR5 ECC RDIMM: 16 × 16 ГБ, по 8 модулей на CPU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Локальные диски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× 960 ГБ Enterprise SSD в RAID 1 для гипервизора; ВМ хранятся на общей СХД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RAID / подключение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PERC H755 для локальной зеркальной пары; 2 × 25 GbE для iSCSI и 2 × 10 GbE для ВМ/миграции; отдельный iDRAC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Гипервизор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zVirt 5.0; аппаратная совместимость конкретной комплектации подтверждается по HCL перед закупкой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Питание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× 1 400 Вт hot-plug, схема 1+1, разные линии/ИБП; установочная мощность БП не равна потреблению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Расчёт электропитания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Плановый верхний бюджет 1 200 Вт на сервер, не измеренное потребление; CPU из него — до 540 Вт TDP. Для 3 серверов 3,6 кВт, для 9 — 10,8 кВт; СХД, сеть, ИБП и охлаждение рассчитываются дополнительно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Количество</w:t>
            </w:r>
          </w:p>
        </w:tc>
        <w:tc>
          <w:tcPr>
            <w:tcW w:type="dxa" w:w="708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узла на площадку; всего 9 узлов, 18 CPU, 576 физических ядер, 2 304 ГБ установленной ОЗУ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pStyle w:val="Heading2"/>
      </w:pPr>
      <w:r>
        <w:t>4. Размещение ВМ и проверка перезапуска</w:t>
      </w:r>
    </w:p>
    <w:p>
      <w:pPr>
        <w:keepNext/>
        <w:spacing w:after="80" w:line="264" w:lineRule="auto"/>
      </w:pPr>
      <w:r>
        <w:rPr>
          <w:b/>
        </w:rPr>
        <w:t>Таблица 3.9 — Одинаковая схема для каждой из К1–К3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850"/>
        <w:gridCol w:w="1134"/>
        <w:gridCol w:w="1701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Физический сервер → zVirt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ВМ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vCPU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RAM, ГБ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Диск, ГБ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Host-1 → zVirt 5.0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VM01, VM05, VM08, VM12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68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320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Host-2 → zVirt 5.0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VM02, VM03, VM09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72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460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Host-3 → zVirt 5.0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VM04, VM06, VM07, VM10, VM11</w:t>
            </w:r>
          </w:p>
        </w:tc>
        <w:tc>
          <w:tcPr>
            <w:tcW w:type="dxa" w:w="85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320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VM05 и VM06 закрепляются правилом anti-affinity на разных хостах. При отказе любого хоста его ВМ перезапускаются на оставшихся двух. Наиболее крупные ВМ занимают 16 vCPU и 48 ГБ ОЗУ соответственно; каждая помещается в доступный ресурс одного хоста. Пример для отказа Host-2: VM02 и VM03 переносим на Host-3, VM09 — на Host-1; нагрузки становятся 38 vCPU / 84 ГБ и 40 vCPU / 104 ГБ. Обе ниже порогов одного хоста 48 vCPU и 192 ГБ при 20% свободного резерва.</w:t>
      </w:r>
    </w:p>
    <w:p>
      <w:pPr>
        <w:pStyle w:val="Heading2"/>
      </w:pPr>
      <w:r>
        <w:t>5. Три одинаковые площадки и географический резерв</w:t>
      </w:r>
    </w:p>
    <w:p>
      <w:pPr>
        <w:spacing w:after="80" w:line="264" w:lineRule="auto"/>
      </w:pPr>
      <w:r>
        <w:rPr>
          <w:b w:val="0"/>
        </w:rPr>
        <w:t>К1, К2, К3 — географически разнесённые площадки, каждая рассчитана на всё предприятие: 12 ВМ, 3 хоста и полную СХД из ПР4. Это не три части единой нагрузки. В штатном режиме К1 обслуживает запись и пользователей; К2 и К3 содержат полные актуализируемые копии, а их прикладные и записывающие сервисы заблокированы от самостоятельной записи. Единая распределённая БД и синхронный межплощадочный active-active не заявляются.</w:t>
      </w:r>
    </w:p>
    <w:p>
      <w:pPr>
        <w:spacing w:after="80" w:line="264" w:lineRule="auto"/>
      </w:pPr>
      <w:r>
        <w:rPr>
          <w:b w:val="0"/>
        </w:rPr>
        <w:t>Между площадками предусматриваются защищённые каналы не менее 2 Гбит/с на направление. PostgreSQL передаёт WAL на резервные серверы с контролем отставания; filestore Odoo, файлы Nextcloud и видеоархив копируются инкрементально с согласованными снимками. Базы конфигураций ZoneMinder и служебных приложений копируются отдельно. Нельзя считать простую копию открытого диска работающей БД согласованной резервной копией. Перед началом репликации выполняется первоначальное полное заполнение резервных площадок.</w:t>
      </w:r>
    </w:p>
    <w:p>
      <w:pPr>
        <w:spacing w:after="80" w:line="264" w:lineRule="auto"/>
      </w:pPr>
      <w:r>
        <w:rPr>
          <w:b w:val="0"/>
        </w:rPr>
        <w:t>Целевые значения для межплощадочного восстановления — RPO не более 15 минут и RTO не более 4 часов; это требования проекта, не измеренные показатели. На К2/К3 контролируются задержка WAL и отставание копирования файлов/видео. При потере К1 оператор сначала выполняет fencing К1 и исключает двойную запись, затем повышает выбранный резерв до основного, восстанавливает согласованные данные, запускает приложения/видеозапись и переключает DNS/VPN. Возврат К1 — только после пересинхронизации. Таким образом, предусмотрено географическое восстановление с допустимой потерей последних изменений, а не автоматическая нулевая потеря данных.</w:t>
      </w:r>
    </w:p>
    <w:p>
      <w:pPr>
        <w:spacing w:after="80" w:line="264" w:lineRule="auto"/>
      </w:pPr>
      <w:r>
        <w:rPr>
          <w:b w:val="0"/>
        </w:rPr>
        <w:t>Поток всех камер: 480 × 1,024 = 491,520 Мбит/с, без протокольных накладных расходов. Передача копий на два резерва даёт около 983,040 Мбит/с исходящего потока только для видео; каналы, шифрование и СХД должны выдерживать эту нагрузку одновременно с БД и файлами. Приёмка включает потерю хоста, восстановление БД и отключение основной площадки с замером RPO/RTO. Наличие трёх одинаковых комплектов само по себе не доказывает отказоустойчивость без настроенной и проверенной процедуры.</w:t>
      </w:r>
    </w:p>
    <w:p>
      <w:pPr>
        <w:keepNext/>
        <w:spacing w:after="80" w:line="264" w:lineRule="auto"/>
      </w:pPr>
      <w:r>
        <w:rPr>
          <w:b/>
        </w:rPr>
        <w:t>Таблица 3.10 — Итог тиражирования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60"/>
        <w:gridCol w:w="3260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1 типовая площадка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К1 + К2 + К3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Физические узлы / CPU-сокеты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/ 6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 / 18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Установленные ядра / RAM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192 / 768 ГБ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576 / 2 304 ГБ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ВМ / назначенные vCPU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 / 78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36 / 234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Назначенная RAM / системные диски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188 ГБ / 1 100 ГБ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564 ГБ / 3 300 ГБ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Резерв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N+1 и ≥20% свободного CPU/RAM</w:t>
            </w:r>
          </w:p>
        </w:tc>
        <w:tc>
          <w:tcPr>
            <w:tcW w:type="dxa" w:w="326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Полный комплект на каждой площадке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pStyle w:val="Heading2"/>
      </w:pPr>
      <w:r>
        <w:t>Вывод по ПР3</w:t>
      </w:r>
    </w:p>
    <w:p>
      <w:pPr>
        <w:spacing w:after="80" w:line="264" w:lineRule="auto"/>
      </w:pPr>
      <w:r>
        <w:rPr>
          <w:b w:val="0"/>
        </w:rPr>
        <w:t>Вместо 25 повторяющихся карточек приняты 6 профилей с проверкой количества сотрудников и устройств. Число ВМ зафиксировано: 12 на одной полной площадке, 36 на трёх. По CPU/RAM с 20% свободного резерва и отказом одного хоста требуется ровно 3 узла на площадку. Полные конфигурации К1–К3 одинаковы; режим работы и границы географического восстановления описаны отдельно от расчёта мощности.</w:t>
      </w:r>
    </w:p>
    <w:p>
      <w:pPr>
        <w:pStyle w:val="Heading1"/>
        <w:pageBreakBefore/>
      </w:pPr>
      <w:r>
        <w:t>Практическая работа №4</w:t>
      </w:r>
    </w:p>
    <w:p>
      <w:pPr>
        <w:spacing w:after="80" w:line="264" w:lineRule="auto"/>
      </w:pPr>
      <w:r>
        <w:rPr>
          <w:b/>
        </w:rPr>
        <w:t>Одна полная конфигурация СХД и её тиражирование</w:t>
      </w:r>
    </w:p>
    <w:p>
      <w:pPr>
        <w:pStyle w:val="Heading2"/>
      </w:pPr>
      <w:r>
        <w:t>Цель и единицы измерения</w:t>
      </w:r>
    </w:p>
    <w:p>
      <w:pPr>
        <w:spacing w:after="80" w:line="264" w:lineRule="auto"/>
      </w:pPr>
      <w:r>
        <w:rPr>
          <w:b w:val="0"/>
        </w:rPr>
        <w:t>Рассчитать полное хранилище всего предприятия для одной типовой площадки и использовать три одинаковых комплекта в К1–К3. P13 = 1 057 МБ на пользователя, а не ГБ. В работе приняты десятичные единицы: 1 ГБ = 1 000 МБ, 1 ТБ = 1 000 ГБ. Системные диски ВМ, данные пользователей, видео и резервные копии учитываются раздельно; дедупликация и сжатие не уменьшают расчётную потребность.</w:t>
      </w:r>
    </w:p>
    <w:p>
      <w:pPr>
        <w:keepNext/>
        <w:spacing w:after="80" w:line="264" w:lineRule="auto"/>
      </w:pPr>
      <w:r>
        <w:rPr>
          <w:b/>
        </w:rPr>
        <w:t>Таблица 4.1 — Исходные данные для каждой полной СХД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Значение / расчёт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Внутренние сотрудники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805 + 5 × 13 + 29 + 6 × 14 = 983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Внешние пользователи, P12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955; для хранения всего 983 + 955 = 1 938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Данные на пользователя, P13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1 057 МБ = 1,057 ГБ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Кластеры, P9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3; ёмкость не делится между ними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Камеры, P14 = 1:02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 сотрудника стационарной площадки: ceil(805/2) + 5 × ceil(13/2) + 6 × ceil(14/2) = 403 + 35 + 42 = 480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Принятое число камер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480. Округление выполняется на каждом физическом объекте; внеофисные 29 сотрудников и внешние пользователи камер не добавляют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Битрейт / срок архива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1 024 Кбит/с на камеру / 30 суток, непрерывная запись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Системные диски</w:t>
            </w:r>
          </w:p>
        </w:tc>
        <w:tc>
          <w:tcPr>
            <w:tcW w:type="dxa" w:w="6520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1 100 ГБ на площадку по ПР3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Округление камер уточнено по физическим объектам. В исходнике 65 работников пяти точек делились на 2 одним числом, что давало 33 камеры. Корректно: по 7 камер на каждую из пяти точек, то есть 35; всего 480. Эта поправка применена к окончательной серверной спецификации и всем итогам хранения: четыре видеосервера по 120 камер.</w:t>
      </w:r>
    </w:p>
    <w:p>
      <w:pPr>
        <w:pStyle w:val="Heading2"/>
      </w:pPr>
      <w:r>
        <w:t>1. Полные объёмы данных на одной площадке</w:t>
      </w:r>
    </w:p>
    <w:p>
      <w:pPr>
        <w:spacing w:after="80" w:line="264" w:lineRule="auto"/>
      </w:pPr>
      <w:r>
        <w:rPr>
          <w:b w:val="0"/>
        </w:rPr>
        <w:t>Пользовательские данные V1 = 1 057 × 1 938 / 1 000 = 2 048,466 ГБ. Величина включает данные всех внутренних и внешних пользователей; распределения V1 между К1–К3 нет.</w:t>
      </w:r>
    </w:p>
    <w:p>
      <w:pPr>
        <w:spacing w:after="80" w:line="264" w:lineRule="auto"/>
      </w:pPr>
      <w:r>
        <w:rPr>
          <w:b w:val="0"/>
        </w:rPr>
        <w:t>Видео одной камеры: 1 024 × 1 000 / 8 × 3 600 × 24 × 30 / 1 000 000 000 = 331,776 ГБ. При VBR используется средний измеренный битрейт; в расчёте принято постоянное значение задания.</w:t>
      </w:r>
    </w:p>
    <w:p>
      <w:pPr>
        <w:spacing w:after="80" w:line="264" w:lineRule="auto"/>
      </w:pPr>
      <w:r>
        <w:rPr>
          <w:b w:val="0"/>
        </w:rPr>
        <w:t>Полный видеоархив V2 = 331,776 × 480 = 159 252,480 ГБ. Для 30 суток на каждой площадке предусматривается весь этот объём, а не треть.</w:t>
      </w:r>
    </w:p>
    <w:p>
      <w:pPr>
        <w:spacing w:after="80" w:line="264" w:lineRule="auto"/>
      </w:pPr>
      <w:r>
        <w:rPr>
          <w:b w:val="0"/>
        </w:rPr>
        <w:t>Резервные копии пользовательских данных V3 = (1 + 4 × 0,1 + 7 × 0,015) × V1 = 1,505 × V1 = 3 082,94133 ГБ. Схема задания: одна полная копия, четыре дифференциальных по 10% и семь инкрементальных по 1,5%. Это расчётные коэффициенты, а не измеренная изменяемость данных.</w:t>
      </w:r>
    </w:p>
    <w:p>
      <w:pPr>
        <w:spacing w:after="80" w:line="264" w:lineRule="auto"/>
      </w:pPr>
      <w:r>
        <w:rPr>
          <w:b w:val="0"/>
        </w:rPr>
        <w:t>Дополнительно учитываются резервные копии системных томов ВМ: 1,505 × 1 100 = 1 655,500 ГБ. Полный репозиторий копий B = 1,505 × (2 048,466 + 1 100) = 4 738,44133 ГБ. Видеозаписи сюда повторно не включаются: их полные копии сохраняются на двух других площадках. Конфигурации и индексы видеосервиса включены в системные тома.</w:t>
      </w:r>
    </w:p>
    <w:p>
      <w:pPr>
        <w:keepNext/>
        <w:spacing w:after="80" w:line="264" w:lineRule="auto"/>
      </w:pPr>
      <w:r>
        <w:rPr>
          <w:b/>
        </w:rPr>
        <w:t>Таблица 4.2 — Полная потребность и 20% свободного места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494"/>
        <w:gridCol w:w="3458"/>
      </w:tblGrid>
      <w:tr>
        <w:trPr>
          <w:tblHeader/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Категория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Занято, ГБ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Нужно полезной ёмкости / 0,8, ГБ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Данные пользователей V1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2 048,466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2 560,582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Системные тома ВМ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1 100,000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1 375,000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Рабочий SSD-пул: данные + ВМ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3 148,466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3 935,582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Видеоархив 30 суток V2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159 252,480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199 065,600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резервные копии B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4 738,44133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5 923,05166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ИТОГО (SSD-пул + видео + копии)</w:t>
            </w:r>
          </w:p>
        </w:tc>
        <w:tc>
          <w:tcPr>
            <w:tcW w:type="dxa" w:w="24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167 139,38733</w:t>
            </w:r>
          </w:p>
        </w:tc>
        <w:tc>
          <w:tcPr>
            <w:tcW w:type="dxa" w:w="345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208 924,23416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Первые две строки входят в строку SSD-пула и повторно в итог не суммируются. Рабочие данные БД и файловый контент входят в V1, а системные 1 100 ГБ — отдельный консервативный резерв под ОС/ПО/служебные данные; один и тот же пользовательский объём не добавляется повторно как диск приложения.</w:t>
      </w:r>
    </w:p>
    <w:p>
      <w:pPr>
        <w:pStyle w:val="Heading2"/>
      </w:pPr>
      <w:r>
        <w:t>2. RAID, диски, полезная ёмкость</w:t>
      </w:r>
    </w:p>
    <w:p>
      <w:pPr>
        <w:spacing w:after="80" w:line="264" w:lineRule="auto"/>
      </w:pPr>
      <w:r>
        <w:rPr>
          <w:b w:val="0"/>
        </w:rPr>
        <w:t>Для быстрого рабочего пула выбран RAID 10 из четырёх Enterprise SAS SSD 3,84 ТБ; полезная ёмкость 7 680 ГБ. Видео — два отдельных RAID 6 по десять NL-SAS HDD 16 ТБ; по 128 000 ГБ полезно в каждой группе, всего 256 000 ГБ. Копии — RAID 6 из четырёх SAS HDD 4 ТБ, полезно 8 000 ГБ. RAID 5 для крупных архивных дисков не применяется из-за риска во время длительного восстановления.</w:t>
      </w:r>
    </w:p>
    <w:p>
      <w:pPr>
        <w:keepNext/>
        <w:spacing w:after="80" w:line="264" w:lineRule="auto"/>
      </w:pPr>
      <w:r>
        <w:rPr>
          <w:b/>
        </w:rPr>
        <w:t>Таблица 4.3 — Окончательная дисковая конфигурация одной площадки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268"/>
        <w:gridCol w:w="1531"/>
        <w:gridCol w:w="1361"/>
        <w:gridCol w:w="289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Пул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Диски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RAID / K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Полезно, ГБ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Нужно с резервом, ГБ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Рабочие данные и ВМ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× 3,84 ТБ SAS SSD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/ 1/2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7 680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3 935,582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Видео, группа A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× 16 ТБ NL-SAS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 / 8/10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128 000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Часть общего видеоархива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Видео, группа B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 × 16 ТБ NL-SAS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 / 8/10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128 000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199 065,600 всего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Резервные копии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× 4 ТБ SAS HDD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 / 2/4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8 000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5 923,05166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Горячие резервы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SSD 3,84 ТБ + 1 HDD 16 ТБ + 1 HDD 4 ТБ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 входят в полезную ёмкость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 одному для каждого класса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ИТОГО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28 рабочих + 3 резервных = 31</w:t>
            </w:r>
          </w:p>
        </w:tc>
        <w:tc>
          <w:tcPr>
            <w:tcW w:type="dxa" w:w="153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Три независимых пула</w:t>
            </w:r>
          </w:p>
        </w:tc>
        <w:tc>
          <w:tcPr>
            <w:tcW w:type="dxa" w:w="136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271 680</w:t>
            </w:r>
          </w:p>
        </w:tc>
        <w:tc>
          <w:tcPr>
            <w:tcW w:type="dxa" w:w="289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требования выполнены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Формулы: RAID 10 — C = n × S / 2 при чётном n; RAID 6 — C = (n − 2) × S на одну группу. Горячий резерв не увеличивает C. Общая сырая ёмкость 28 рабочих дисков: 4 × 3 840 + 20 × 16 000 + 4 × 4 000 = 351 360 ГБ; с тремя hot spare — 375 200 ГБ. Полезная ёмкость после RAID — 7 680 + 256 000 + 8 000 = 271 680 ГБ. Форматирование, метаданные и оперативные снимки потребляют часть полезной ёмкости; они укладываются в оставляемые свободными 20%, а не обещаются как бесплатные.</w:t>
      </w:r>
    </w:p>
    <w:p>
      <w:pPr>
        <w:spacing w:after="80" w:line="264" w:lineRule="auto"/>
      </w:pPr>
      <w:r>
        <w:rPr>
          <w:b w:val="0"/>
        </w:rPr>
        <w:t>Проверка свободного места до метаданных: рабочий пул — 4 531,534 ГБ; видео — 96 747,520 ГБ; копии — 3 261,55867 ГБ. Каждый пул имеет более 20% свободной ёмкости. Переполнение контролируется независимо по пулам, свободный объём видео не считается автоматически доступным базе данных.</w:t>
      </w:r>
    </w:p>
    <w:p>
      <w:pPr>
        <w:pStyle w:val="Heading2"/>
      </w:pPr>
      <w:r>
        <w:t>3. Окончательный состав СХД</w:t>
      </w:r>
    </w:p>
    <w:p>
      <w:pPr>
        <w:spacing w:after="80" w:line="264" w:lineRule="auto"/>
      </w:pPr>
      <w:r>
        <w:rPr>
          <w:b w:val="0"/>
        </w:rPr>
        <w:t>Для учебной конфигурации выбрана QNAP ES1640dc v2 (16 дисковых отсеков, два контроллера) с одной полкой QNAP EJ1600 v2 (16 отсеков) на каждую площадку. Применяются двухпортовые SAS-накопители, резервируемые SAS-соединения полки, два независимых коммутатора хранения и iSCSI multipath от хостов. Конкретные артикулы дисков и микропрограммы должны входить в QVL QNAP; неподтверждённая совместимость SATA с двухконтроллерной схемой не предполагается.</w:t>
      </w:r>
    </w:p>
    <w:p>
      <w:pPr>
        <w:keepNext/>
        <w:spacing w:after="80" w:line="264" w:lineRule="auto"/>
      </w:pPr>
      <w:r>
        <w:rPr>
          <w:b/>
        </w:rPr>
        <w:t>Таблица 4.4 — Зафиксированный состав комплекта, без диапазонов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3969"/>
        <w:gridCol w:w="3005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Одна типовая площадка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Всего для К1–К3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Базовая СХД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× QNAP ES1640dc v2, 16 отсеков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базовых СХД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Контроллеры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2; QES, зеркалирование/защита кэша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 контроллеров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Полка расширения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 × QNAP EJ1600 v2, 16 отсеков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 полки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Дисковые места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16 + 16 = 32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96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SSD SAS Enterprise 3,84 ТБ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рабочих + 1 hot spare = 5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NL-SAS HDD 16 ТБ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20 рабочих + 1 hot spare = 21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63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SAS HDD 4 ТБ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 рабочих + 1 hot spare = 5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Все накопители в отсеках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31; свободен 1 отсек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93; свободны 3 отсека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Интерфейсы к хостам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 независимых пути iSCSI 10 GbE от контроллеров; хостовые 25 GbE работают на 10 GbE через совместимые модули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 коммутаторов хранения, по 2 на площадку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Электропитание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Штатные резервные БП СХД и полки, подключение к разным ИБП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Раздельные линии питания на всех площадках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Полезная ёмкость</w:t>
            </w:r>
          </w:p>
        </w:tc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271 680 ГБ</w:t>
            </w:r>
          </w:p>
        </w:tc>
        <w:tc>
          <w:tcPr>
            <w:tcW w:type="dxa" w:w="300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815 040 ГБ физически; это 3 копии одного полного набора</w:t>
            </w:r>
          </w:p>
        </w:tc>
      </w:tr>
    </w:tbl>
    <w:p>
      <w:pPr>
        <w:spacing w:after="80" w:line="264" w:lineRule="auto"/>
      </w:pPr>
      <w:r>
        <w:rPr>
          <w:b w:val="0"/>
        </w:rPr>
      </w:r>
    </w:p>
    <w:p>
      <w:pPr>
        <w:spacing w:after="80" w:line="264" w:lineRule="auto"/>
      </w:pPr>
      <w:r>
        <w:rPr>
          <w:b w:val="0"/>
        </w:rPr>
        <w:t>Размещение по отсекам: базовая СХД — 4 SSD, первая группа из 10 HDD 16 ТБ, 1 резервный SSD и 1 резервный HDD 16 ТБ, всего 16; полка — вторая группа из 10 HDD 16 ТБ, 4 HDD 4 ТБ для копий и 1 резервный HDD 4 ТБ, всего 15 из 16. Hot spare каждого класса доступен соответствующим группам контроллерной пары. Полки и диски не подменяются неопределённым числом «уточнить позже».</w:t>
      </w:r>
    </w:p>
    <w:p>
      <w:pPr>
        <w:spacing w:after="80" w:line="264" w:lineRule="auto"/>
      </w:pPr>
      <w:r>
        <w:rPr>
          <w:b w:val="0"/>
        </w:rPr>
        <w:t>Это окончательная учебная конфигурация по моделям, количеству отсеков, дисков и RAID. Она не выдаётся за оформленный заказ или результат реально выполненного онлайн-конфигуратора. Перед закупкой обязательны проверка QVL накопителей/адаптеров, поддерживаемой версии QES и zVirt, согласование доступности модели и КП поставщика. Замена на современную эквивалентную модель допустима только с сохранением рассчитанной полезной ёмкости, двухконтроллерности и количества резервируемых путей.</w:t>
      </w:r>
    </w:p>
    <w:p>
      <w:pPr>
        <w:pStyle w:val="Heading2"/>
      </w:pPr>
      <w:r>
        <w:t>4. Отказоустойчивость и внешняя копия</w:t>
      </w:r>
    </w:p>
    <w:p>
      <w:pPr>
        <w:spacing w:after="80" w:line="264" w:lineRule="auto"/>
      </w:pPr>
      <w:r>
        <w:rPr>
          <w:b w:val="0"/>
        </w:rPr>
        <w:t>RAID защищает от отказа диска в пределах выбранной группы; для RAID 6 допускаются два отказа в каждой группе, для RAID 10 — по одному в каждой зеркальной паре. Два контроллера и multipath устраняют одиночный отказ контроллера или линии при корректной поддержке оборудования. Потеря всей СХД, полки, площадки, логическое удаление или шифрование данных не устраняются одним RAID. Для этого нужны межплощадочные копии и отдельная внешняя копия с ограничением удаления/политикой неизменяемости.</w:t>
      </w:r>
    </w:p>
    <w:p>
      <w:pPr>
        <w:spacing w:after="80" w:line="264" w:lineRule="auto"/>
      </w:pPr>
      <w:r>
        <w:rPr>
          <w:b w:val="0"/>
        </w:rPr>
        <w:t>Облачный репозиторий COLD 8 000 ГБ хранит один актуальный комплект резервных копий пользовательских и системных данных — 4 738,44133 ГБ. Требование с 20% свободного места: 5 923,05166 ГБ, поэтому 8 000 ГБ достаточно. Видеозаписи объёмом 159 252,480 ГБ в этот тариф не помещаются и туда не заявляются. Для облачных копий задаются срок хранения, блокировка удаления и регламент восстановления; стоимость запросов и исходящего трафика учитывается отдельно. Хранение нескольких дополнительных полных комплектов потребует увеличения объёма.</w:t>
      </w:r>
    </w:p>
    <w:p>
      <w:pPr>
        <w:spacing w:after="80" w:line="264" w:lineRule="auto"/>
      </w:pPr>
      <w:r>
        <w:rPr>
          <w:b w:val="0"/>
        </w:rPr>
        <w:t>Репликация видео между площадками требует 480 × 1,024 = 491,520 Мбит/с на одну полную копию и 983,040 Мбит/с на два резерва без накладных расходов. Проектные каналы ≥ 2 Гбит/с и два пути хранения 10 GbE дают запас по пропускной способности, но итоговая задержка репликации и дисковые IOPS проверяются испытанием, а не выводятся только из номинала портов.</w:t>
      </w:r>
    </w:p>
    <w:p>
      <w:pPr>
        <w:pStyle w:val="Heading2"/>
      </w:pPr>
      <w:r>
        <w:t>Вывод по ПР4</w:t>
      </w:r>
    </w:p>
    <w:p>
      <w:pPr>
        <w:spacing w:after="80" w:line="264" w:lineRule="auto"/>
      </w:pPr>
      <w:r>
        <w:rPr>
          <w:b w:val="0"/>
        </w:rPr>
        <w:t>Исправлена размерность P13: полные пользовательские данные — 2 048,466 ГБ, а не 2 048 466 ГБ. После округления камер на каждом объекте принят полный архив 480 камер — 159 252,480 ГБ. Учтены 1 100 ГБ системных томов и 4 738,44133 ГБ всех копий. Одна полная типовая СХД имеет 271 680 ГБ полезной ёмкости, 2 контроллера, 1 базовое шасси и 1 полку, 28 рабочих и 3 резервных диска; устанавливаются три одинаковых комплекта. Деление данных между К1–К3 исключено.</w:t>
      </w:r>
    </w:p>
    <w:p>
      <w:pPr>
        <w:pStyle w:val="Heading1"/>
        <w:pageBreakBefore/>
      </w:pPr>
      <w:r>
        <w:t>Источники и границы подтверждения</w:t>
      </w:r>
    </w:p>
    <w:p>
      <w:pPr>
        <w:spacing w:after="80" w:line="264" w:lineRule="auto"/>
      </w:pPr>
      <w:r>
        <w:rPr>
          <w:b w:val="0"/>
          <w:sz w:val="21"/>
        </w:rPr>
        <w:t>1. Odoo 18: пакетная установка, Debian 12 — https://www.odoo.com/documentation/18.0/administration/on_premise/packages.html ; текст официального репозитория проверен: https://github.com/odoo/documentation/blob/18.0/content/administration/on_premise/packages.rst</w:t>
      </w:r>
    </w:p>
    <w:p>
      <w:pPr>
        <w:spacing w:after="80" w:line="264" w:lineRule="auto"/>
      </w:pPr>
      <w:r>
        <w:rPr>
          <w:b w:val="0"/>
          <w:sz w:val="21"/>
        </w:rPr>
        <w:t>2. Odoo 18: workers, память, PostgreSQL и production deployment — https://www.odoo.com/documentation/18.0/administration/on_premise/deploy.html ; проверен текст: https://github.com/odoo/documentation/blob/18.0/content/administration/on_premise/deploy.rst</w:t>
      </w:r>
    </w:p>
    <w:p>
      <w:pPr>
        <w:spacing w:after="80" w:line="264" w:lineRule="auto"/>
      </w:pPr>
      <w:r>
        <w:rPr>
          <w:b w:val="0"/>
          <w:sz w:val="21"/>
        </w:rPr>
        <w:t>3. Odoo Community: лицензия LGPLv3 — https://github.com/odoo/odoo/blob/18.0/LICENSE (текст проверен). Модули Community: https://github.com/odoo/odoo/tree/18.0/addons</w:t>
      </w:r>
    </w:p>
    <w:p>
      <w:pPr>
        <w:spacing w:after="80" w:line="264" w:lineRule="auto"/>
      </w:pPr>
      <w:r>
        <w:rPr>
          <w:b w:val="0"/>
          <w:sz w:val="21"/>
        </w:rPr>
        <w:t>4. ZoneMinder: официальный репозиторий и ссылка на пакет Debian — https://github.com/ZoneMinder/zoneminder ; README проверен. Пакет: https://packages.debian.org/bookworm/zoneminder</w:t>
      </w:r>
    </w:p>
    <w:p>
      <w:pPr>
        <w:spacing w:after="80" w:line="264" w:lineRule="auto"/>
      </w:pPr>
      <w:r>
        <w:rPr>
          <w:b w:val="0"/>
          <w:sz w:val="21"/>
        </w:rPr>
        <w:t>5. PostgreSQL — https://www.postgresql.org/docs/15/ ; Debian — https://www.debian.org/releases/bookworm/ ; Nextcloud — https://docs.nextcloud.com/server/latest/admin_manual/installation/system_requirements.html</w:t>
      </w:r>
    </w:p>
    <w:p>
      <w:pPr>
        <w:spacing w:after="80" w:line="264" w:lineRule="auto"/>
      </w:pPr>
      <w:r>
        <w:rPr>
          <w:b w:val="0"/>
          <w:sz w:val="21"/>
        </w:rPr>
        <w:t>6. Аппаратная часть для проверки перед закупкой: Dell PowerEdge R760 — https://www.dell.com/support/home/product-support/product/poweredge-r760/docs ; Intel Xeon Gold 6530 — https://ark.intel.com/ ; zVirt — https://orionsoft.ru/zvirt/</w:t>
      </w:r>
    </w:p>
    <w:p>
      <w:pPr>
        <w:spacing w:after="80" w:line="264" w:lineRule="auto"/>
      </w:pPr>
      <w:r>
        <w:rPr>
          <w:b w:val="0"/>
          <w:sz w:val="21"/>
        </w:rPr>
        <w:t>7. СХД и полка: QNAP ES1640dc v2 — https://www.qnap.com/en/product/es1640dc%20v2 ; QNAP EJ1600 v2 — https://www.qnap.com/en/product/ej1600%20v2 ; совместимость — https://www.qnap.com/en/compatibility/</w:t>
      </w:r>
    </w:p>
    <w:p>
      <w:pPr>
        <w:spacing w:after="80" w:line="264" w:lineRule="auto"/>
      </w:pPr>
      <w:r>
        <w:rPr>
          <w:b w:val="0"/>
          <w:sz w:val="21"/>
        </w:rPr>
        <w:t>8. 1С:Фреш — https://1cfresh.com/ ; Яндекс 360 — https://360.yandex.ru/business/ ; Yandex Object Storage — https://yandex.cloud/ru/docs/storage/ ; Iron Logic Z-5R — https://ironlogic.ru/</w:t>
      </w:r>
    </w:p>
    <w:p>
      <w:pPr>
        <w:spacing w:after="80" w:line="264" w:lineRule="auto"/>
      </w:pPr>
      <w:r>
        <w:rPr>
          <w:b w:val="0"/>
        </w:rPr>
        <w:t>Документация Odoo и README ZoneMinder проверены через официальные GitHub-репозитории. Прямой доступ к сайтам производителей в текущей среде ограничен; аппаратные HCL/QVL, наличие оборудования, текущие тарифы и полный актуальный статус поддержки релизов не подтверждены. Численные итоги ниже проверены расчётом; ни нагрузочные испытания приложений, ни реальный запуск конфигуратора, ни измерение энергопотребления не заявляются.</w:t>
      </w:r>
    </w:p>
    <w:sectPr>
      <w:footnotePr/>
      <w:type w:val="nextPage"/>
      <w:pgSz w:w="11906" w:h="16838" w:orient="portrait"/>
      <w:pgMar w:top="1134" w:right="850" w:bottom="1134" w:left="1134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  <w:pPr>
      <w:spacing w:after="12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DocCaption">
    <w:name w:val="DocCaption"/>
    <w:uiPriority w:val="99"/>
    <w:pPr>
      <w:keepNext w:val="on"/>
      <w:spacing w:before="180" w:after="80"/>
    </w:pPr>
    <w:rPr>
      <w:rFonts w:ascii="Times New Roman" w:hAnsi="Times New Roman"/>
      <w:i/>
      <w:sz w:val="23"/>
    </w:rPr>
  </w:style>
  <w:style w:type="paragraph" w:customStyle="1" w:styleId="ReportHeading">
    <w:name w:val="ReportHeading"/>
    <w:uiPriority w:val="99"/>
    <w:pPr>
      <w:keepNext w:val="on"/>
      <w:spacing w:before="200" w:after="100"/>
    </w:pPr>
    <w:rPr>
      <w:rFonts w:ascii="Times New Roman" w:hAnsi="Times New Roman"/>
      <w:b/>
      <w:sz w:val="28"/>
    </w:rPr>
  </w:style>
  <w:style w:type="paragraph" w:customStyle="1" w:styleId="ReportCaption">
    <w:name w:val="ReportCaption"/>
    <w:uiPriority w:val="99"/>
    <w:pPr>
      <w:keepNext w:val="on"/>
      <w:spacing w:before="140" w:after="60"/>
    </w:pPr>
    <w:rPr>
      <w:rFonts w:ascii="Times New Roman" w:hAnsi="Times New Roman"/>
      <w:b w:val="off"/>
      <w:sz w:val="22"/>
    </w:rPr>
  </w:style>
  <w:style w:type="paragraph" w:customStyle="1" w:styleId="Heading1">
    <w:name w:val="heading 1"/>
    <w:pPr>
      <w:keepNext/>
      <w:spacing w:after="120"/>
    </w:pPr>
    <w:rPr>
      <w:rFonts w:ascii="Times New Roman" w:hAnsi="Times New Roman"/>
      <w:sz w:val="28"/>
    </w:rPr>
  </w:style>
  <w:style w:type="paragraph" w:customStyle="1" w:styleId="Heading2">
    <w:name w:val="heading 2"/>
    <w:pPr>
      <w:keepNext/>
      <w:spacing w:after="120"/>
    </w:pPr>
    <w:rPr>
      <w:rFonts w:ascii="Times New Roman" w:hAnsi="Times New Roman"/>
      <w:sz w:val="28"/>
    </w:rPr>
  </w:style>
  <w:style w:type="paragraph" w:customStyle="1" w:styleId="Heading3">
    <w:name w:val="heading 3"/>
    <w:pPr>
      <w:keepNext/>
      <w:spacing w:after="120"/>
    </w:pPr>
    <w:rPr>
      <w:rFonts w:ascii="Times New Roman" w:hAnsi="Times New Roman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13" Type="http://schemas.openxmlformats.org/officeDocument/2006/relationships/image" Target="media/image1.tiff"/><Relationship Id="rId14" Type="http://schemas.openxmlformats.org/officeDocument/2006/relationships/image" Target="media/image2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Yulia</dc:creator>
  <cp:lastModifiedBy>Yulia</cp:lastModifiedBy>
</cp:coreProperties>
</file>