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1C42" w:rsidRDefault="00D04934">
      <w:pPr>
        <w:spacing w:after="60"/>
      </w:pPr>
      <w:r>
        <w:rPr>
          <w:rFonts w:ascii="Georgia" w:eastAsia="Georgia" w:hAnsi="Georgia" w:cs="Georgia"/>
          <w:b/>
          <w:bCs/>
          <w:color w:val="151515"/>
          <w:sz w:val="40"/>
          <w:szCs w:val="40"/>
        </w:rPr>
        <w:t>The Through-Line: Map Content &amp; CTAs</w:t>
      </w:r>
    </w:p>
    <w:p w:rsidR="00E41C42" w:rsidRDefault="00E41C42">
      <w:pPr>
        <w:pBdr>
          <w:bottom w:val="single" w:sz="4" w:space="0" w:color="E2E0DA"/>
        </w:pBdr>
        <w:spacing w:before="100" w:after="200"/>
      </w:pPr>
    </w:p>
    <w:p w:rsidR="00E41C42" w:rsidRDefault="00D04934">
      <w:pPr>
        <w:pStyle w:val="Heading2"/>
        <w:spacing w:before="320" w:after="140"/>
      </w:pPr>
      <w:r>
        <w:rPr>
          <w:rFonts w:ascii="Georgia" w:eastAsia="Georgia" w:hAnsi="Georgia" w:cs="Georgia"/>
          <w:b/>
          <w:bCs/>
          <w:color w:val="151515"/>
        </w:rPr>
        <w:t>1. One-line claim</w:t>
      </w:r>
    </w:p>
    <w:p w:rsidR="00E41C42" w:rsidRDefault="00D04934">
      <w:pPr>
        <w:spacing w:after="120"/>
      </w:pPr>
      <w:r>
        <w:rPr>
          <w:rFonts w:ascii="Georgia" w:eastAsia="Georgia" w:hAnsi="Georgia" w:cs="Georgia"/>
          <w:b/>
          <w:bCs/>
          <w:color w:val="33475B"/>
          <w:sz w:val="26"/>
          <w:szCs w:val="26"/>
        </w:rPr>
        <w:t>"I build the feature that reads contracts so your users don't have to."</w:t>
      </w:r>
    </w:p>
    <w:p w:rsidR="00E41C42" w:rsidRDefault="00D04934">
      <w:pPr>
        <w:spacing w:after="160"/>
      </w:pPr>
      <w:r>
        <w:rPr>
          <w:rFonts w:ascii="Calibri" w:eastAsia="Calibri" w:hAnsi="Calibri" w:cs="Calibri"/>
          <w:color w:val="151515"/>
          <w:sz w:val="21"/>
          <w:szCs w:val="21"/>
        </w:rPr>
        <w:t xml:space="preserve">Sharpened from ten AI-generated options against the proof statement from Week 1. This one was chosen because the actual audience for the claim is a product lead deciding whether to embed </w:t>
      </w:r>
      <w:proofErr w:type="spellStart"/>
      <w:r>
        <w:rPr>
          <w:rFonts w:ascii="Calibri" w:eastAsia="Calibri" w:hAnsi="Calibri" w:cs="Calibri"/>
          <w:color w:val="151515"/>
          <w:sz w:val="21"/>
          <w:szCs w:val="21"/>
        </w:rPr>
        <w:t>LexGuard</w:t>
      </w:r>
      <w:proofErr w:type="spellEnd"/>
      <w:r>
        <w:rPr>
          <w:rFonts w:ascii="Calibri" w:eastAsia="Calibri" w:hAnsi="Calibri" w:cs="Calibri"/>
          <w:color w:val="151515"/>
          <w:sz w:val="21"/>
          <w:szCs w:val="21"/>
        </w:rPr>
        <w:t>, not an SME own</w:t>
      </w:r>
      <w:r w:rsidR="00391337">
        <w:rPr>
          <w:rFonts w:ascii="Calibri" w:eastAsia="Calibri" w:hAnsi="Calibri" w:cs="Calibri"/>
          <w:color w:val="151515"/>
          <w:sz w:val="21"/>
          <w:szCs w:val="21"/>
        </w:rPr>
        <w:t xml:space="preserve">er encountering it standalone, </w:t>
      </w:r>
      <w:r>
        <w:rPr>
          <w:rFonts w:ascii="Calibri" w:eastAsia="Calibri" w:hAnsi="Calibri" w:cs="Calibri"/>
          <w:color w:val="151515"/>
          <w:sz w:val="21"/>
          <w:szCs w:val="21"/>
        </w:rPr>
        <w:t>the claim spe</w:t>
      </w:r>
      <w:r>
        <w:rPr>
          <w:rFonts w:ascii="Calibri" w:eastAsia="Calibri" w:hAnsi="Calibri" w:cs="Calibri"/>
          <w:color w:val="151515"/>
          <w:sz w:val="21"/>
          <w:szCs w:val="21"/>
        </w:rPr>
        <w:t>aks directly to that decision.</w:t>
      </w:r>
    </w:p>
    <w:p w:rsidR="00E41C42" w:rsidRDefault="00D04934">
      <w:pPr>
        <w:pStyle w:val="Heading2"/>
        <w:spacing w:before="320" w:after="140"/>
      </w:pPr>
      <w:r>
        <w:rPr>
          <w:rFonts w:ascii="Georgia" w:eastAsia="Georgia" w:hAnsi="Georgia" w:cs="Georgia"/>
          <w:b/>
          <w:bCs/>
          <w:color w:val="151515"/>
        </w:rPr>
        <w:t>2. Content map</w:t>
      </w:r>
    </w:p>
    <w:p w:rsidR="00E41C42" w:rsidRDefault="00D04934">
      <w:pPr>
        <w:spacing w:after="160"/>
      </w:pPr>
      <w:r>
        <w:rPr>
          <w:rFonts w:ascii="Calibri" w:eastAsia="Calibri" w:hAnsi="Calibri" w:cs="Calibri"/>
          <w:color w:val="151515"/>
          <w:sz w:val="21"/>
          <w:szCs w:val="21"/>
        </w:rPr>
        <w:t>Built as a single page</w:t>
      </w:r>
      <w:r w:rsidR="00391337">
        <w:rPr>
          <w:rFonts w:ascii="Calibri" w:eastAsia="Calibri" w:hAnsi="Calibri" w:cs="Calibri"/>
          <w:color w:val="151515"/>
          <w:sz w:val="21"/>
          <w:szCs w:val="21"/>
        </w:rPr>
        <w:t xml:space="preserve"> rather than a multi-page site,</w:t>
      </w:r>
      <w:r>
        <w:rPr>
          <w:rFonts w:ascii="Calibri" w:eastAsia="Calibri" w:hAnsi="Calibri" w:cs="Calibri"/>
          <w:color w:val="151515"/>
          <w:sz w:val="21"/>
          <w:szCs w:val="21"/>
        </w:rPr>
        <w:t xml:space="preserve"> every section either builds belief toward the claim or restates it, and there is exactly one CTA on the page.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600"/>
        <w:gridCol w:w="2600"/>
        <w:gridCol w:w="3200"/>
      </w:tblGrid>
      <w:tr w:rsidR="00E41C42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7F6F3"/>
          </w:tcPr>
          <w:p w:rsidR="00E41C42" w:rsidRDefault="00D04934">
            <w:r>
              <w:rPr>
                <w:rFonts w:ascii="Calibri" w:eastAsia="Calibri" w:hAnsi="Calibri" w:cs="Calibri"/>
                <w:b/>
                <w:bCs/>
                <w:color w:val="151515"/>
                <w:sz w:val="19"/>
                <w:szCs w:val="19"/>
              </w:rPr>
              <w:t>Page</w:t>
            </w:r>
          </w:p>
        </w:tc>
        <w:tc>
          <w:tcPr>
            <w:tcW w:w="2600" w:type="dxa"/>
            <w:shd w:val="clear" w:color="auto" w:fill="F7F6F3"/>
          </w:tcPr>
          <w:p w:rsidR="00E41C42" w:rsidRDefault="00D04934">
            <w:r>
              <w:rPr>
                <w:rFonts w:ascii="Calibri" w:eastAsia="Calibri" w:hAnsi="Calibri" w:cs="Calibri"/>
                <w:b/>
                <w:bCs/>
                <w:color w:val="151515"/>
                <w:sz w:val="19"/>
                <w:szCs w:val="19"/>
              </w:rPr>
              <w:t>Sections, in order</w:t>
            </w:r>
          </w:p>
        </w:tc>
        <w:tc>
          <w:tcPr>
            <w:tcW w:w="2600" w:type="dxa"/>
            <w:shd w:val="clear" w:color="auto" w:fill="F7F6F3"/>
          </w:tcPr>
          <w:p w:rsidR="00E41C42" w:rsidRDefault="00D04934">
            <w:r>
              <w:rPr>
                <w:rFonts w:ascii="Calibri" w:eastAsia="Calibri" w:hAnsi="Calibri" w:cs="Calibri"/>
                <w:b/>
                <w:bCs/>
                <w:color w:val="151515"/>
                <w:sz w:val="19"/>
                <w:szCs w:val="19"/>
              </w:rPr>
              <w:t>Case shown</w:t>
            </w:r>
          </w:p>
        </w:tc>
        <w:tc>
          <w:tcPr>
            <w:tcW w:w="3200" w:type="dxa"/>
            <w:shd w:val="clear" w:color="auto" w:fill="F7F6F3"/>
          </w:tcPr>
          <w:p w:rsidR="00E41C42" w:rsidRDefault="00D04934">
            <w:r>
              <w:rPr>
                <w:rFonts w:ascii="Calibri" w:eastAsia="Calibri" w:hAnsi="Calibri" w:cs="Calibri"/>
                <w:b/>
                <w:bCs/>
                <w:color w:val="151515"/>
                <w:sz w:val="19"/>
                <w:szCs w:val="19"/>
              </w:rPr>
              <w:t>Call to ac</w:t>
            </w:r>
            <w:r>
              <w:rPr>
                <w:rFonts w:ascii="Calibri" w:eastAsia="Calibri" w:hAnsi="Calibri" w:cs="Calibri"/>
                <w:b/>
                <w:bCs/>
                <w:color w:val="151515"/>
                <w:sz w:val="19"/>
                <w:szCs w:val="19"/>
              </w:rPr>
              <w:t>tion</w:t>
            </w:r>
          </w:p>
        </w:tc>
      </w:tr>
      <w:tr w:rsidR="00E41C42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:rsidR="00E41C42" w:rsidRDefault="00D04934">
            <w:r>
              <w:rPr>
                <w:rFonts w:ascii="Calibri" w:eastAsia="Calibri" w:hAnsi="Calibri" w:cs="Calibri"/>
                <w:color w:val="151515"/>
                <w:sz w:val="19"/>
                <w:szCs w:val="19"/>
              </w:rPr>
              <w:t>One page (single-page portfolio)</w:t>
            </w:r>
          </w:p>
        </w:tc>
        <w:tc>
          <w:tcPr>
            <w:tcW w:w="2600" w:type="dxa"/>
          </w:tcPr>
          <w:p w:rsidR="00E41C42" w:rsidRDefault="00391337">
            <w:r>
              <w:rPr>
                <w:rFonts w:ascii="Calibri" w:eastAsia="Calibri" w:hAnsi="Calibri" w:cs="Calibri"/>
                <w:color w:val="151515"/>
                <w:sz w:val="19"/>
                <w:szCs w:val="19"/>
              </w:rPr>
              <w:t>1. Hero:</w:t>
            </w:r>
            <w:r w:rsidR="00D04934">
              <w:rPr>
                <w:rFonts w:ascii="Calibri" w:eastAsia="Calibri" w:hAnsi="Calibri" w:cs="Calibri"/>
                <w:color w:val="151515"/>
                <w:sz w:val="19"/>
                <w:szCs w:val="19"/>
              </w:rPr>
              <w:t xml:space="preserve"> states the one-line claim</w:t>
            </w:r>
          </w:p>
          <w:p w:rsidR="00E41C42" w:rsidRDefault="00391337">
            <w:r>
              <w:rPr>
                <w:rFonts w:ascii="Calibri" w:eastAsia="Calibri" w:hAnsi="Calibri" w:cs="Calibri"/>
                <w:color w:val="151515"/>
                <w:sz w:val="19"/>
                <w:szCs w:val="19"/>
              </w:rPr>
              <w:t xml:space="preserve">2. Case study: </w:t>
            </w:r>
            <w:proofErr w:type="spellStart"/>
            <w:r>
              <w:rPr>
                <w:rFonts w:ascii="Calibri" w:eastAsia="Calibri" w:hAnsi="Calibri" w:cs="Calibri"/>
                <w:color w:val="151515"/>
                <w:sz w:val="19"/>
                <w:szCs w:val="19"/>
              </w:rPr>
              <w:t>LexGuard</w:t>
            </w:r>
            <w:proofErr w:type="spellEnd"/>
            <w:r w:rsidR="00D04934">
              <w:rPr>
                <w:rFonts w:ascii="Calibri" w:eastAsia="Calibri" w:hAnsi="Calibri" w:cs="Calibri"/>
                <w:color w:val="151515"/>
                <w:sz w:val="19"/>
                <w:szCs w:val="19"/>
              </w:rPr>
              <w:t xml:space="preserve"> hero shot, High Risk alert, results breakdown, risk distribution chart, recall before/after</w:t>
            </w:r>
          </w:p>
          <w:p w:rsidR="00E41C42" w:rsidRDefault="00391337">
            <w:r>
              <w:rPr>
                <w:rFonts w:ascii="Calibri" w:eastAsia="Calibri" w:hAnsi="Calibri" w:cs="Calibri"/>
                <w:color w:val="151515"/>
                <w:sz w:val="19"/>
                <w:szCs w:val="19"/>
              </w:rPr>
              <w:t>3. How it works: plain-language mechanism, including</w:t>
            </w:r>
            <w:r w:rsidR="00D04934">
              <w:rPr>
                <w:rFonts w:ascii="Calibri" w:eastAsia="Calibri" w:hAnsi="Calibri" w:cs="Calibri"/>
                <w:color w:val="151515"/>
                <w:sz w:val="19"/>
                <w:szCs w:val="19"/>
              </w:rPr>
              <w:t xml:space="preserve"> the regex-to-hybrid decision</w:t>
            </w:r>
          </w:p>
          <w:p w:rsidR="00E41C42" w:rsidRDefault="00391337">
            <w:r>
              <w:rPr>
                <w:rFonts w:ascii="Calibri" w:eastAsia="Calibri" w:hAnsi="Calibri" w:cs="Calibri"/>
                <w:color w:val="151515"/>
                <w:sz w:val="19"/>
                <w:szCs w:val="19"/>
              </w:rPr>
              <w:t xml:space="preserve">4. About: </w:t>
            </w:r>
            <w:r w:rsidR="00D04934">
              <w:rPr>
                <w:rFonts w:ascii="Calibri" w:eastAsia="Calibri" w:hAnsi="Calibri" w:cs="Calibri"/>
                <w:color w:val="151515"/>
                <w:sz w:val="19"/>
                <w:szCs w:val="19"/>
              </w:rPr>
              <w:t xml:space="preserve"> 2–3 sentences, real photo</w:t>
            </w:r>
          </w:p>
          <w:p w:rsidR="00E41C42" w:rsidRDefault="00391337">
            <w:r>
              <w:rPr>
                <w:rFonts w:ascii="Calibri" w:eastAsia="Calibri" w:hAnsi="Calibri" w:cs="Calibri"/>
                <w:color w:val="151515"/>
                <w:sz w:val="19"/>
                <w:szCs w:val="19"/>
              </w:rPr>
              <w:t>5. Contact:</w:t>
            </w:r>
            <w:r w:rsidR="00D04934">
              <w:rPr>
                <w:rFonts w:ascii="Calibri" w:eastAsia="Calibri" w:hAnsi="Calibri" w:cs="Calibri"/>
                <w:color w:val="151515"/>
                <w:sz w:val="19"/>
                <w:szCs w:val="19"/>
              </w:rPr>
              <w:t xml:space="preserve"> restates the claim, one CTA</w:t>
            </w:r>
          </w:p>
        </w:tc>
        <w:tc>
          <w:tcPr>
            <w:tcW w:w="2600" w:type="dxa"/>
          </w:tcPr>
          <w:p w:rsidR="00E41C42" w:rsidRDefault="00D04934">
            <w:proofErr w:type="spellStart"/>
            <w:r>
              <w:rPr>
                <w:rFonts w:ascii="Calibri" w:eastAsia="Calibri" w:hAnsi="Calibri" w:cs="Calibri"/>
                <w:color w:val="151515"/>
                <w:sz w:val="19"/>
                <w:szCs w:val="19"/>
              </w:rPr>
              <w:t>LexGuard</w:t>
            </w:r>
            <w:proofErr w:type="spellEnd"/>
            <w:r>
              <w:rPr>
                <w:rFonts w:ascii="Calibri" w:eastAsia="Calibri" w:hAnsi="Calibri" w:cs="Calibri"/>
                <w:color w:val="151515"/>
                <w:sz w:val="19"/>
                <w:szCs w:val="19"/>
              </w:rPr>
              <w:t xml:space="preserve"> (only case, shown in full)</w:t>
            </w:r>
          </w:p>
        </w:tc>
        <w:tc>
          <w:tcPr>
            <w:tcW w:w="3200" w:type="dxa"/>
          </w:tcPr>
          <w:p w:rsidR="00E41C42" w:rsidRDefault="00D04934">
            <w:r>
              <w:rPr>
                <w:rFonts w:ascii="Calibri" w:eastAsia="Calibri" w:hAnsi="Calibri" w:cs="Calibri"/>
                <w:color w:val="151515"/>
                <w:sz w:val="19"/>
                <w:szCs w:val="19"/>
              </w:rPr>
              <w:t>Section 5 (Contact)</w:t>
            </w:r>
            <w:r w:rsidR="00391337">
              <w:rPr>
                <w:rFonts w:ascii="Calibri" w:eastAsia="Calibri" w:hAnsi="Calibri" w:cs="Calibri"/>
                <w:color w:val="151515"/>
                <w:sz w:val="19"/>
                <w:szCs w:val="19"/>
              </w:rPr>
              <w:t>: "Book a call to discuss fit":</w:t>
            </w:r>
            <w:r>
              <w:rPr>
                <w:rFonts w:ascii="Calibri" w:eastAsia="Calibri" w:hAnsi="Calibri" w:cs="Calibri"/>
                <w:color w:val="151515"/>
                <w:sz w:val="19"/>
                <w:szCs w:val="19"/>
              </w:rPr>
              <w:t xml:space="preserve"> every earli</w:t>
            </w:r>
            <w:r>
              <w:rPr>
                <w:rFonts w:ascii="Calibri" w:eastAsia="Calibri" w:hAnsi="Calibri" w:cs="Calibri"/>
                <w:color w:val="151515"/>
                <w:sz w:val="19"/>
                <w:szCs w:val="19"/>
              </w:rPr>
              <w:t>er section builds toward this one action; no other CTA appears on the page</w:t>
            </w:r>
          </w:p>
        </w:tc>
      </w:tr>
    </w:tbl>
    <w:p w:rsidR="00E41C42" w:rsidRDefault="00D04934">
      <w:pPr>
        <w:pStyle w:val="Heading3"/>
        <w:spacing w:before="320" w:after="140"/>
      </w:pPr>
      <w:r>
        <w:rPr>
          <w:rFonts w:ascii="Georgia" w:eastAsia="Georgia" w:hAnsi="Georgia" w:cs="Georgia"/>
          <w:b/>
          <w:bCs/>
          <w:color w:val="151515"/>
        </w:rPr>
        <w:t>Proof: recall before vs. after the hybrid rule engine</w:t>
      </w:r>
    </w:p>
    <w:p w:rsidR="00E41C42" w:rsidRDefault="00D04934">
      <w:pPr>
        <w:spacing w:after="160"/>
      </w:pPr>
      <w:r>
        <w:rPr>
          <w:rFonts w:ascii="Calibri" w:eastAsia="Calibri" w:hAnsi="Calibri" w:cs="Calibri"/>
          <w:color w:val="151515"/>
          <w:sz w:val="21"/>
          <w:szCs w:val="21"/>
        </w:rPr>
        <w:t>Sits inside the case-study section. From my own evaluation notebook, testing rule-based clause detection against 510 real contracts (CUAD dataset) across 28 clause types. Regex-only and hybrid recall are each averaged from the per-clause Recall column prin</w:t>
      </w:r>
      <w:r>
        <w:rPr>
          <w:rFonts w:ascii="Calibri" w:eastAsia="Calibri" w:hAnsi="Calibri" w:cs="Calibri"/>
          <w:color w:val="151515"/>
          <w:sz w:val="21"/>
          <w:szCs w:val="21"/>
        </w:rPr>
        <w:t>ted by the notebook's evaluation cells (Task 4 and Task 5).</w:t>
      </w:r>
    </w:p>
    <w:p w:rsidR="00E41C42" w:rsidRDefault="00D04934">
      <w:pPr>
        <w:spacing w:before="120" w:after="80"/>
        <w:jc w:val="center"/>
      </w:pPr>
      <w:r>
        <w:rPr>
          <w:noProof/>
        </w:rPr>
        <w:drawing>
          <wp:inline distT="0" distB="0" distL="0" distR="0">
            <wp:extent cx="4000500" cy="2400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C42" w:rsidRDefault="00D04934">
      <w:pPr>
        <w:spacing w:after="200"/>
      </w:pPr>
      <w:r>
        <w:rPr>
          <w:rFonts w:ascii="Calibri" w:eastAsia="Calibri" w:hAnsi="Calibri" w:cs="Calibri"/>
          <w:i/>
          <w:iCs/>
          <w:color w:val="6B6B66"/>
          <w:sz w:val="18"/>
          <w:szCs w:val="18"/>
        </w:rPr>
        <w:t>Precisio</w:t>
      </w:r>
      <w:r w:rsidR="00391337">
        <w:rPr>
          <w:rFonts w:ascii="Calibri" w:eastAsia="Calibri" w:hAnsi="Calibri" w:cs="Calibri"/>
          <w:i/>
          <w:iCs/>
          <w:color w:val="6B6B66"/>
          <w:sz w:val="18"/>
          <w:szCs w:val="18"/>
        </w:rPr>
        <w:t>n held at 1.0 in both versions,</w:t>
      </w:r>
      <w:r>
        <w:rPr>
          <w:rFonts w:ascii="Calibri" w:eastAsia="Calibri" w:hAnsi="Calibri" w:cs="Calibri"/>
          <w:i/>
          <w:iCs/>
          <w:color w:val="6B6B66"/>
          <w:sz w:val="18"/>
          <w:szCs w:val="18"/>
        </w:rPr>
        <w:t xml:space="preserve"> the improvement is pure recall gain, not a precision/recall trade-off.</w:t>
      </w:r>
    </w:p>
    <w:p w:rsidR="00E41C42" w:rsidRDefault="00D04934">
      <w:pPr>
        <w:pStyle w:val="Heading2"/>
        <w:spacing w:before="320" w:after="140"/>
      </w:pPr>
      <w:r>
        <w:rPr>
          <w:rFonts w:ascii="Georgia" w:eastAsia="Georgia" w:hAnsi="Georgia" w:cs="Georgia"/>
          <w:b/>
          <w:bCs/>
          <w:color w:val="151515"/>
        </w:rPr>
        <w:t>3. Still need to gather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500"/>
        <w:gridCol w:w="5500"/>
      </w:tblGrid>
      <w:tr w:rsidR="00E41C42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7F6F3"/>
          </w:tcPr>
          <w:p w:rsidR="00E41C42" w:rsidRDefault="00D04934">
            <w:r>
              <w:rPr>
                <w:rFonts w:ascii="Calibri" w:eastAsia="Calibri" w:hAnsi="Calibri" w:cs="Calibri"/>
                <w:b/>
                <w:bCs/>
                <w:color w:val="151515"/>
                <w:sz w:val="19"/>
                <w:szCs w:val="19"/>
              </w:rPr>
              <w:lastRenderedPageBreak/>
              <w:t>Item</w:t>
            </w:r>
          </w:p>
        </w:tc>
        <w:tc>
          <w:tcPr>
            <w:tcW w:w="1500" w:type="dxa"/>
            <w:shd w:val="clear" w:color="auto" w:fill="F7F6F3"/>
          </w:tcPr>
          <w:p w:rsidR="00E41C42" w:rsidRDefault="00D04934">
            <w:r>
              <w:rPr>
                <w:rFonts w:ascii="Calibri" w:eastAsia="Calibri" w:hAnsi="Calibri" w:cs="Calibri"/>
                <w:b/>
                <w:bCs/>
                <w:color w:val="151515"/>
                <w:sz w:val="19"/>
                <w:szCs w:val="19"/>
              </w:rPr>
              <w:t>Status</w:t>
            </w:r>
          </w:p>
        </w:tc>
        <w:tc>
          <w:tcPr>
            <w:tcW w:w="5500" w:type="dxa"/>
            <w:shd w:val="clear" w:color="auto" w:fill="F7F6F3"/>
          </w:tcPr>
          <w:p w:rsidR="00E41C42" w:rsidRDefault="00D04934">
            <w:r>
              <w:rPr>
                <w:rFonts w:ascii="Calibri" w:eastAsia="Calibri" w:hAnsi="Calibri" w:cs="Calibri"/>
                <w:b/>
                <w:bCs/>
                <w:color w:val="151515"/>
                <w:sz w:val="19"/>
                <w:szCs w:val="19"/>
              </w:rPr>
              <w:t>Note</w:t>
            </w:r>
          </w:p>
        </w:tc>
      </w:tr>
      <w:tr w:rsidR="00E41C42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E41C42" w:rsidRDefault="00D04934">
            <w:r>
              <w:rPr>
                <w:rFonts w:ascii="Calibri" w:eastAsia="Calibri" w:hAnsi="Calibri" w:cs="Calibri"/>
                <w:color w:val="151515"/>
                <w:sz w:val="19"/>
                <w:szCs w:val="19"/>
              </w:rPr>
              <w:t>Screenshots</w:t>
            </w:r>
          </w:p>
        </w:tc>
        <w:tc>
          <w:tcPr>
            <w:tcW w:w="1500" w:type="dxa"/>
          </w:tcPr>
          <w:p w:rsidR="00E41C42" w:rsidRDefault="00D04934">
            <w:r>
              <w:rPr>
                <w:rFonts w:ascii="Calibri" w:eastAsia="Calibri" w:hAnsi="Calibri" w:cs="Calibri"/>
                <w:color w:val="151515"/>
                <w:sz w:val="19"/>
                <w:szCs w:val="19"/>
              </w:rPr>
              <w:t>Done</w:t>
            </w:r>
          </w:p>
        </w:tc>
        <w:tc>
          <w:tcPr>
            <w:tcW w:w="5500" w:type="dxa"/>
          </w:tcPr>
          <w:p w:rsidR="00E41C42" w:rsidRDefault="00D04934">
            <w:r>
              <w:rPr>
                <w:rFonts w:ascii="Calibri" w:eastAsia="Calibri" w:hAnsi="Calibri" w:cs="Calibri"/>
                <w:color w:val="151515"/>
                <w:sz w:val="19"/>
                <w:szCs w:val="19"/>
              </w:rPr>
              <w:t>Four real captures selected and curated: hero, High Risk alert, results breakdown, risk distribution chart.</w:t>
            </w:r>
          </w:p>
        </w:tc>
      </w:tr>
      <w:tr w:rsidR="00E41C42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E41C42" w:rsidRDefault="00D04934">
            <w:r>
              <w:rPr>
                <w:rFonts w:ascii="Calibri" w:eastAsia="Calibri" w:hAnsi="Calibri" w:cs="Calibri"/>
                <w:color w:val="151515"/>
                <w:sz w:val="19"/>
                <w:szCs w:val="19"/>
              </w:rPr>
              <w:t>Live demo link</w:t>
            </w:r>
          </w:p>
        </w:tc>
        <w:tc>
          <w:tcPr>
            <w:tcW w:w="1500" w:type="dxa"/>
          </w:tcPr>
          <w:p w:rsidR="00E41C42" w:rsidRDefault="00D04934">
            <w:r>
              <w:rPr>
                <w:rFonts w:ascii="Calibri" w:eastAsia="Calibri" w:hAnsi="Calibri" w:cs="Calibri"/>
                <w:color w:val="151515"/>
                <w:sz w:val="19"/>
                <w:szCs w:val="19"/>
              </w:rPr>
              <w:t>Done</w:t>
            </w:r>
          </w:p>
        </w:tc>
        <w:tc>
          <w:tcPr>
            <w:tcW w:w="5500" w:type="dxa"/>
          </w:tcPr>
          <w:p w:rsidR="00E41C42" w:rsidRDefault="00D04934">
            <w:hyperlink r:id="rId6" w:history="1">
              <w:r>
                <w:rPr>
                  <w:rFonts w:ascii="Calibri" w:eastAsia="Calibri" w:hAnsi="Calibri" w:cs="Calibri"/>
                  <w:color w:val="33475B"/>
                  <w:u w:val="single"/>
                </w:rPr>
                <w:t>lexguard20.netlify.app</w:t>
              </w:r>
            </w:hyperlink>
          </w:p>
        </w:tc>
      </w:tr>
      <w:tr w:rsidR="00E41C42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E41C42" w:rsidRDefault="00D04934">
            <w:r>
              <w:rPr>
                <w:rFonts w:ascii="Calibri" w:eastAsia="Calibri" w:hAnsi="Calibri" w:cs="Calibri"/>
                <w:color w:val="151515"/>
                <w:sz w:val="19"/>
                <w:szCs w:val="19"/>
              </w:rPr>
              <w:t>Repo</w:t>
            </w:r>
          </w:p>
        </w:tc>
        <w:tc>
          <w:tcPr>
            <w:tcW w:w="1500" w:type="dxa"/>
          </w:tcPr>
          <w:p w:rsidR="00E41C42" w:rsidRDefault="00D04934">
            <w:r>
              <w:rPr>
                <w:rFonts w:ascii="Calibri" w:eastAsia="Calibri" w:hAnsi="Calibri" w:cs="Calibri"/>
                <w:color w:val="151515"/>
                <w:sz w:val="19"/>
                <w:szCs w:val="19"/>
              </w:rPr>
              <w:t>Done</w:t>
            </w:r>
          </w:p>
        </w:tc>
        <w:tc>
          <w:tcPr>
            <w:tcW w:w="5500" w:type="dxa"/>
          </w:tcPr>
          <w:p w:rsidR="00E41C42" w:rsidRDefault="00D04934">
            <w:hyperlink r:id="rId7" w:history="1">
              <w:r>
                <w:rPr>
                  <w:rFonts w:ascii="Calibri" w:eastAsia="Calibri" w:hAnsi="Calibri" w:cs="Calibri"/>
                  <w:color w:val="33475B"/>
                  <w:u w:val="single"/>
                </w:rPr>
                <w:t>github.com/</w:t>
              </w:r>
              <w:proofErr w:type="spellStart"/>
              <w:r>
                <w:rPr>
                  <w:rFonts w:ascii="Calibri" w:eastAsia="Calibri" w:hAnsi="Calibri" w:cs="Calibri"/>
                  <w:color w:val="33475B"/>
                  <w:u w:val="single"/>
                </w:rPr>
                <w:t>Lateephah</w:t>
              </w:r>
              <w:proofErr w:type="spellEnd"/>
              <w:r>
                <w:rPr>
                  <w:rFonts w:ascii="Calibri" w:eastAsia="Calibri" w:hAnsi="Calibri" w:cs="Calibri"/>
                  <w:color w:val="33475B"/>
                  <w:u w:val="single"/>
                </w:rPr>
                <w:t>/</w:t>
              </w:r>
              <w:proofErr w:type="spellStart"/>
              <w:r>
                <w:rPr>
                  <w:rFonts w:ascii="Calibri" w:eastAsia="Calibri" w:hAnsi="Calibri" w:cs="Calibri"/>
                  <w:color w:val="33475B"/>
                  <w:u w:val="single"/>
                </w:rPr>
                <w:t>LexGuard</w:t>
              </w:r>
              <w:proofErr w:type="spellEnd"/>
            </w:hyperlink>
          </w:p>
        </w:tc>
      </w:tr>
      <w:tr w:rsidR="00E41C42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E41C42" w:rsidRDefault="00D04934">
            <w:r>
              <w:rPr>
                <w:rFonts w:ascii="Calibri" w:eastAsia="Calibri" w:hAnsi="Calibri" w:cs="Calibri"/>
                <w:color w:val="151515"/>
                <w:sz w:val="19"/>
                <w:szCs w:val="19"/>
              </w:rPr>
              <w:t>Before/after numbers</w:t>
            </w:r>
          </w:p>
        </w:tc>
        <w:tc>
          <w:tcPr>
            <w:tcW w:w="1500" w:type="dxa"/>
          </w:tcPr>
          <w:p w:rsidR="00E41C42" w:rsidRDefault="00D04934">
            <w:r>
              <w:rPr>
                <w:rFonts w:ascii="Calibri" w:eastAsia="Calibri" w:hAnsi="Calibri" w:cs="Calibri"/>
                <w:color w:val="151515"/>
                <w:sz w:val="19"/>
                <w:szCs w:val="19"/>
              </w:rPr>
              <w:t>Done</w:t>
            </w:r>
          </w:p>
        </w:tc>
        <w:tc>
          <w:tcPr>
            <w:tcW w:w="5500" w:type="dxa"/>
          </w:tcPr>
          <w:p w:rsidR="00E41C42" w:rsidRDefault="00D04934">
            <w:r>
              <w:rPr>
                <w:rFonts w:ascii="Calibri" w:eastAsia="Calibri" w:hAnsi="Calibri" w:cs="Calibri"/>
                <w:color w:val="151515"/>
                <w:sz w:val="19"/>
                <w:szCs w:val="19"/>
              </w:rPr>
              <w:t>From my own evaluation notebook: average recall across 28 clause types rose from 60.3% (regex-only) to 99.5% (hybrid regex + TF-IDF), tested on 510</w:t>
            </w:r>
            <w:r>
              <w:rPr>
                <w:rFonts w:ascii="Calibri" w:eastAsia="Calibri" w:hAnsi="Calibri" w:cs="Calibri"/>
                <w:color w:val="151515"/>
                <w:sz w:val="19"/>
                <w:szCs w:val="19"/>
              </w:rPr>
              <w:t xml:space="preserve"> CUAD contracts. Pr</w:t>
            </w:r>
            <w:r w:rsidR="00391337">
              <w:rPr>
                <w:rFonts w:ascii="Calibri" w:eastAsia="Calibri" w:hAnsi="Calibri" w:cs="Calibri"/>
                <w:color w:val="151515"/>
                <w:sz w:val="19"/>
                <w:szCs w:val="19"/>
              </w:rPr>
              <w:t>ecision held at 1.0 throughout,</w:t>
            </w:r>
            <w:r>
              <w:rPr>
                <w:rFonts w:ascii="Calibri" w:eastAsia="Calibri" w:hAnsi="Calibri" w:cs="Calibri"/>
                <w:color w:val="151515"/>
                <w:sz w:val="19"/>
                <w:szCs w:val="19"/>
              </w:rPr>
              <w:t xml:space="preserve"> no false positives.</w:t>
            </w:r>
          </w:p>
        </w:tc>
      </w:tr>
      <w:tr w:rsidR="00E41C42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E41C42" w:rsidRDefault="00D04934">
            <w:r>
              <w:rPr>
                <w:rFonts w:ascii="Calibri" w:eastAsia="Calibri" w:hAnsi="Calibri" w:cs="Calibri"/>
                <w:color w:val="151515"/>
                <w:sz w:val="19"/>
                <w:szCs w:val="19"/>
              </w:rPr>
              <w:t>Testimonial</w:t>
            </w:r>
          </w:p>
        </w:tc>
        <w:tc>
          <w:tcPr>
            <w:tcW w:w="1500" w:type="dxa"/>
          </w:tcPr>
          <w:p w:rsidR="00E41C42" w:rsidRDefault="00D04934">
            <w:r>
              <w:rPr>
                <w:rFonts w:ascii="Calibri" w:eastAsia="Calibri" w:hAnsi="Calibri" w:cs="Calibri"/>
                <w:color w:val="151515"/>
                <w:sz w:val="19"/>
                <w:szCs w:val="19"/>
              </w:rPr>
              <w:t>Still open</w:t>
            </w:r>
          </w:p>
        </w:tc>
        <w:tc>
          <w:tcPr>
            <w:tcW w:w="5500" w:type="dxa"/>
          </w:tcPr>
          <w:p w:rsidR="00E41C42" w:rsidRDefault="00D04934">
            <w:r>
              <w:rPr>
                <w:rFonts w:ascii="Calibri" w:eastAsia="Calibri" w:hAnsi="Calibri" w:cs="Calibri"/>
                <w:color w:val="151515"/>
                <w:sz w:val="19"/>
                <w:szCs w:val="19"/>
              </w:rPr>
              <w:t>Don't have one yet. Noted honestly rather than delaying the build.</w:t>
            </w:r>
          </w:p>
        </w:tc>
      </w:tr>
      <w:tr w:rsidR="00E41C42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E41C42" w:rsidRDefault="00D04934">
            <w:r>
              <w:rPr>
                <w:rFonts w:ascii="Calibri" w:eastAsia="Calibri" w:hAnsi="Calibri" w:cs="Calibri"/>
                <w:color w:val="151515"/>
                <w:sz w:val="19"/>
                <w:szCs w:val="19"/>
              </w:rPr>
              <w:t>Internship work</w:t>
            </w:r>
          </w:p>
        </w:tc>
        <w:tc>
          <w:tcPr>
            <w:tcW w:w="1500" w:type="dxa"/>
          </w:tcPr>
          <w:p w:rsidR="00E41C42" w:rsidRDefault="00D04934">
            <w:r>
              <w:rPr>
                <w:rFonts w:ascii="Calibri" w:eastAsia="Calibri" w:hAnsi="Calibri" w:cs="Calibri"/>
                <w:color w:val="151515"/>
                <w:sz w:val="19"/>
                <w:szCs w:val="19"/>
              </w:rPr>
              <w:t>Out of scope</w:t>
            </w:r>
          </w:p>
        </w:tc>
        <w:tc>
          <w:tcPr>
            <w:tcW w:w="5500" w:type="dxa"/>
          </w:tcPr>
          <w:p w:rsidR="00E41C42" w:rsidRDefault="00391337">
            <w:r>
              <w:rPr>
                <w:rFonts w:ascii="Calibri" w:eastAsia="Calibri" w:hAnsi="Calibri" w:cs="Calibri"/>
                <w:color w:val="151515"/>
                <w:sz w:val="19"/>
                <w:szCs w:val="19"/>
              </w:rPr>
              <w:t xml:space="preserve">Deliberately excluded, </w:t>
            </w:r>
            <w:r w:rsidR="00D04934">
              <w:rPr>
                <w:rFonts w:ascii="Calibri" w:eastAsia="Calibri" w:hAnsi="Calibri" w:cs="Calibri"/>
                <w:color w:val="151515"/>
                <w:sz w:val="19"/>
                <w:szCs w:val="19"/>
              </w:rPr>
              <w:t>Week 1 and 2 both narrowed this build t</w:t>
            </w:r>
            <w:r w:rsidR="00D04934">
              <w:rPr>
                <w:rFonts w:ascii="Calibri" w:eastAsia="Calibri" w:hAnsi="Calibri" w:cs="Calibri"/>
                <w:color w:val="151515"/>
                <w:sz w:val="19"/>
                <w:szCs w:val="19"/>
              </w:rPr>
              <w:t>o one claim and one case. Not forgotten, just not part of this portfolio.</w:t>
            </w:r>
          </w:p>
        </w:tc>
      </w:tr>
    </w:tbl>
    <w:p w:rsidR="00E41C42" w:rsidRDefault="00E41C42">
      <w:pPr>
        <w:spacing w:after="200"/>
      </w:pPr>
      <w:bookmarkStart w:id="0" w:name="_GoBack"/>
      <w:bookmarkEnd w:id="0"/>
    </w:p>
    <w:sectPr w:rsidR="00E41C42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3D797B"/>
    <w:multiLevelType w:val="hybridMultilevel"/>
    <w:tmpl w:val="670CB67E"/>
    <w:lvl w:ilvl="0" w:tplc="A88C803A">
      <w:start w:val="1"/>
      <w:numFmt w:val="bullet"/>
      <w:lvlText w:val="●"/>
      <w:lvlJc w:val="left"/>
      <w:pPr>
        <w:ind w:left="720" w:hanging="360"/>
      </w:pPr>
    </w:lvl>
    <w:lvl w:ilvl="1" w:tplc="B1FE11FC">
      <w:start w:val="1"/>
      <w:numFmt w:val="bullet"/>
      <w:lvlText w:val="○"/>
      <w:lvlJc w:val="left"/>
      <w:pPr>
        <w:ind w:left="1440" w:hanging="360"/>
      </w:pPr>
    </w:lvl>
    <w:lvl w:ilvl="2" w:tplc="62AE1F54">
      <w:start w:val="1"/>
      <w:numFmt w:val="bullet"/>
      <w:lvlText w:val="■"/>
      <w:lvlJc w:val="left"/>
      <w:pPr>
        <w:ind w:left="2160" w:hanging="360"/>
      </w:pPr>
    </w:lvl>
    <w:lvl w:ilvl="3" w:tplc="29AE6284">
      <w:start w:val="1"/>
      <w:numFmt w:val="bullet"/>
      <w:lvlText w:val="●"/>
      <w:lvlJc w:val="left"/>
      <w:pPr>
        <w:ind w:left="2880" w:hanging="360"/>
      </w:pPr>
    </w:lvl>
    <w:lvl w:ilvl="4" w:tplc="DC902742">
      <w:start w:val="1"/>
      <w:numFmt w:val="bullet"/>
      <w:lvlText w:val="○"/>
      <w:lvlJc w:val="left"/>
      <w:pPr>
        <w:ind w:left="3600" w:hanging="360"/>
      </w:pPr>
    </w:lvl>
    <w:lvl w:ilvl="5" w:tplc="8DAECB76">
      <w:start w:val="1"/>
      <w:numFmt w:val="bullet"/>
      <w:lvlText w:val="■"/>
      <w:lvlJc w:val="left"/>
      <w:pPr>
        <w:ind w:left="4320" w:hanging="360"/>
      </w:pPr>
    </w:lvl>
    <w:lvl w:ilvl="6" w:tplc="F3F6DC6E">
      <w:start w:val="1"/>
      <w:numFmt w:val="bullet"/>
      <w:lvlText w:val="●"/>
      <w:lvlJc w:val="left"/>
      <w:pPr>
        <w:ind w:left="5040" w:hanging="360"/>
      </w:pPr>
    </w:lvl>
    <w:lvl w:ilvl="7" w:tplc="2242B3F0">
      <w:start w:val="1"/>
      <w:numFmt w:val="bullet"/>
      <w:lvlText w:val="●"/>
      <w:lvlJc w:val="left"/>
      <w:pPr>
        <w:ind w:left="5760" w:hanging="360"/>
      </w:pPr>
    </w:lvl>
    <w:lvl w:ilvl="8" w:tplc="AFC8123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1C42"/>
    <w:rsid w:val="00391337"/>
    <w:rsid w:val="00D04934"/>
    <w:rsid w:val="00E41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E3F5C"/>
  <w15:docId w15:val="{4B47395B-5FEA-4815-8DBA-9B7AC89E4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Lateephah/LexGuar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xguard20.netlify.app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373</Words>
  <Characters>2129</Characters>
  <Application>Microsoft Office Word</Application>
  <DocSecurity>0</DocSecurity>
  <Lines>17</Lines>
  <Paragraphs>4</Paragraphs>
  <ScaleCrop>false</ScaleCrop>
  <Company/>
  <LinksUpToDate>false</LinksUpToDate>
  <CharactersWithSpaces>2498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Welcome Sir</cp:lastModifiedBy>
  <cp:revision>3</cp:revision>
  <dcterms:created xsi:type="dcterms:W3CDTF">2026-08-15T00:05:00Z</dcterms:created>
  <dcterms:modified xsi:type="dcterms:W3CDTF">2026-08-15T00:19:00Z</dcterms:modified>
</cp:coreProperties>
</file>