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Our Team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Dir. Jean-Baptiste Otshudi Disashi Kalonda</w:t>
      </w:r>
    </w:p>
    <w:p>
      <w:pPr/>
      <w:r>
        <w:rPr>
          <w:rFonts w:ascii="Helvetica Light" w:hAnsi="Helvetica Light" w:cs="Helvetica Light"/>
          <w:sz w:val="24"/>
          <w:sz-cs w:val="24"/>
        </w:rPr>
        <w:t xml:space="preserve">Co-Founder and COO</w:t>
      </w:r>
    </w:p>
    <w:p>
      <w:pPr/>
      <w:r>
        <w:rPr>
          <w:rFonts w:ascii="Helvetica Light" w:hAnsi="Helvetica Light" w:cs="Helvetica Light"/>
          <w:sz w:val="24"/>
          <w:sz-cs w:val="24"/>
        </w:rPr>
        <w:t xml:space="preserve">LabCongo, Kinshasa, DRC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Biography</w:t>
      </w:r>
    </w:p>
    <w:p>
      <w:pPr/>
      <w:r>
        <w:rPr>
          <w:rFonts w:ascii="Helvetica Light" w:hAnsi="Helvetica Light" w:cs="Helvetica Light"/>
          <w:sz w:val="24"/>
          <w:sz-cs w:val="24"/>
        </w:rPr>
        <w:t xml:space="preserve">An experienced lawyer and senior executive, Jean-Baptiste Otshudi Disashi Kalonda has more than 20 years of experience in law, public governance, and the mining sector in the Democratic Republic of Congo. Currently Legal Director and Director for the Fight Against Mining Fraud at CEEC, he is recognized for his deep command of mining law, litigation, and mechanisms for regulating and certifying natural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a strong background in economic and social law from the University of Kinshasa, he has held several strategic positions within public institutions, including the National Assembly and various ministries. His career reflects recognized expertise in legal advisory work, regulatory drafting, and public affairs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rigorous and committed professional with a strong team spirit, he has contributed to major initiatives related to transparency, mineral traceability, and the fight against mining fraud at both national and international levels.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full name is Jean-Baptiste Otshudi Disashi Kalonda.</w:t>
      </w:r>
    </w:p>
    <w:p>
      <w:pPr/>
      <w:r>
        <w:rPr>
          <w:rFonts w:ascii="Helvetica Light" w:hAnsi="Helvetica Light" w:cs="Helvetica Light"/>
          <w:sz w:val="24"/>
          <w:sz-cs w:val="24"/>
        </w:rPr>
        <w:t xml:space="preserve">Born on November 25, 1968.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Paul Mukendi</w:t>
      </w:r>
    </w:p>
    <w:p>
      <w:pPr/>
      <w:r>
        <w:rPr>
          <w:rFonts w:ascii="Helvetica Light" w:hAnsi="Helvetica Light" w:cs="Helvetica Light"/>
          <w:sz w:val="24"/>
          <w:sz-cs w:val="24"/>
        </w:rPr>
        <w:t xml:space="preserve">Laboratory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Grace Ilunga</w:t>
      </w:r>
    </w:p>
    <w:p>
      <w:pPr/>
      <w:r>
        <w:rPr>
          <w:rFonts w:ascii="Helvetica Light" w:hAnsi="Helvetica Light" w:cs="Helvetica Light"/>
          <w:sz w:val="24"/>
          <w:sz-cs w:val="24"/>
        </w:rPr>
        <w:t xml:space="preserve">Laboratory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Didier Mbayo</w:t>
      </w:r>
    </w:p>
    <w:p>
      <w:pPr/>
      <w:r>
        <w:rPr>
          <w:rFonts w:ascii="Helvetica Light" w:hAnsi="Helvetica Light" w:cs="Helvetica Light"/>
          <w:sz w:val="24"/>
          <w:sz-cs w:val="24"/>
        </w:rPr>
        <w:t xml:space="preserve">Laboratory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Sandrine</w:t>
      </w:r>
    </w:p>
    <w:p>
      <w:pPr/>
      <w:r>
        <w:rPr>
          <w:rFonts w:ascii="Helvetica Light" w:hAnsi="Helvetica Light" w:cs="Helvetica Light"/>
          <w:sz w:val="24"/>
          <w:sz-cs w:val="24"/>
        </w:rPr>
        <w:t xml:space="preserve">Laboratory Assistant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