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D111AE4" wp14:paraId="612D98DA" wp14:textId="5897A963">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36"/>
          <w:szCs w:val="36"/>
          <w:lang w:val="en-US"/>
        </w:rPr>
      </w:pPr>
      <w:r w:rsidRPr="5D111AE4" w:rsidR="1504A4F6">
        <w:rPr>
          <w:rFonts w:ascii="Times New Roman" w:hAnsi="Times New Roman" w:eastAsia="Times New Roman" w:cs="Times New Roman" w:asciiTheme="minorAscii" w:hAnsiTheme="minorAscii" w:eastAsiaTheme="minorAscii" w:cstheme="minorAscii"/>
          <w:b w:val="1"/>
          <w:bCs w:val="1"/>
          <w:noProof w:val="0"/>
          <w:color w:val="auto"/>
          <w:sz w:val="36"/>
          <w:szCs w:val="36"/>
          <w:lang w:val="en-US"/>
        </w:rPr>
        <w:t xml:space="preserve">Model Documentation </w:t>
      </w:r>
    </w:p>
    <w:p xmlns:wp14="http://schemas.microsoft.com/office/word/2010/wordml" w:rsidP="5D111AE4" wp14:paraId="42013273" wp14:textId="167D78B8">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5D111AE4" w:rsidR="1504A4F6">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Overview</w:t>
      </w:r>
    </w:p>
    <w:p xmlns:wp14="http://schemas.microsoft.com/office/word/2010/wordml" w:rsidP="5D111AE4" wp14:paraId="49CFAC46" wp14:textId="00F561E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This agent-based model simulates the formation of financial bubbles and partial crashes in startup valuations through interactions between rational and behavioral investors. The model integrates theoretical assumptions about investor behavior with empirical startup data from Project 3 to generate market dynamics that can be calibrated to real </w:t>
      </w: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valuation</w:t>
      </w: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histories.</w:t>
      </w:r>
    </w:p>
    <w:p xmlns:wp14="http://schemas.microsoft.com/office/word/2010/wordml" w:rsidP="5D111AE4" wp14:paraId="10B1631A" wp14:textId="0A6E235D">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5D111AE4" w:rsidR="1504A4F6">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Agents</w:t>
      </w:r>
    </w:p>
    <w:p xmlns:wp14="http://schemas.microsoft.com/office/word/2010/wordml" w:rsidP="5D111AE4" wp14:paraId="7F2833EF" wp14:textId="72F21F0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The core agents are </w:t>
      </w:r>
      <w:r w:rsidRPr="5D111AE4" w:rsidR="1504A4F6">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investors</w:t>
      </w: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implemented in the </w:t>
      </w: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Investor</w:t>
      </w: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class. Each investor is assigned a type—either </w:t>
      </w:r>
      <w:r w:rsidRPr="5D111AE4" w:rsidR="1504A4F6">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rational</w:t>
      </w: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or </w:t>
      </w:r>
      <w:r w:rsidRPr="5D111AE4" w:rsidR="1504A4F6">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behavioral</w:t>
      </w: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Rational investors base their decisions on the relationship between the current market price and the asset’s fundamental value: they buy when the asset is undervalued and sell when it is overvalued. Behavioral investors instead rely on sentiment, which </w:t>
      </w: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represents</w:t>
      </w: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optimism or pessimism toward the market and evolves endogenously over time.</w:t>
      </w:r>
    </w:p>
    <w:p xmlns:wp14="http://schemas.microsoft.com/office/word/2010/wordml" w:rsidP="5D111AE4" wp14:paraId="593A48C1" wp14:textId="52F0DB2B">
      <w:pPr>
        <w:pStyle w:val="Normal"/>
        <w:spacing w:before="240" w:beforeAutospacing="off" w:after="240" w:afterAutospacing="off"/>
        <w:jc w:val="center"/>
      </w:pPr>
      <w:r w:rsidR="42634C35">
        <w:drawing>
          <wp:inline xmlns:wp14="http://schemas.microsoft.com/office/word/2010/wordprocessingDrawing" wp14:editId="0F2224EB" wp14:anchorId="20DBB970">
            <wp:extent cx="5534797" cy="3005652"/>
            <wp:effectExtent l="0" t="0" r="0" b="0"/>
            <wp:docPr id="11347447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4744754" name="Picture 1134744754"/>
                    <pic:cNvPicPr/>
                  </pic:nvPicPr>
                  <pic:blipFill>
                    <a:blip xmlns:r="http://schemas.openxmlformats.org/officeDocument/2006/relationships" r:embed="rId490399428">
                      <a:extLst>
                        <a:ext uri="{28A0092B-C50C-407E-A947-70E740481C1C}">
                          <a14:useLocalDpi xmlns:a14="http://schemas.microsoft.com/office/drawing/2010/main"/>
                        </a:ext>
                      </a:extLst>
                    </a:blip>
                    <a:stretch>
                      <a:fillRect/>
                    </a:stretch>
                  </pic:blipFill>
                  <pic:spPr>
                    <a:xfrm rot="0">
                      <a:off x="0" y="0"/>
                      <a:ext cx="5534797" cy="3005652"/>
                    </a:xfrm>
                    <a:prstGeom prst="rect">
                      <a:avLst/>
                    </a:prstGeom>
                  </pic:spPr>
                </pic:pic>
              </a:graphicData>
            </a:graphic>
          </wp:inline>
        </w:drawing>
      </w:r>
    </w:p>
    <w:p xmlns:wp14="http://schemas.microsoft.com/office/word/2010/wordml" w:rsidP="5D111AE4" wp14:paraId="714F6DA2" wp14:textId="5C3362D6">
      <w:pPr>
        <w:pStyle w:val="Normal"/>
        <w:spacing w:before="240" w:beforeAutospacing="off" w:after="240" w:afterAutospacing="off"/>
        <w:jc w:val="center"/>
        <w:rPr>
          <w:rFonts w:ascii="Times New Roman" w:hAnsi="Times New Roman" w:eastAsia="Times New Roman" w:cs="Times New Roman"/>
          <w:i w:val="1"/>
          <w:iCs w:val="1"/>
          <w:noProof w:val="0"/>
          <w:sz w:val="24"/>
          <w:szCs w:val="24"/>
          <w:lang w:val="en-US"/>
        </w:rPr>
      </w:pPr>
      <w:r w:rsidRPr="5D111AE4" w:rsidR="42634C35">
        <w:rPr>
          <w:rFonts w:ascii="Times New Roman" w:hAnsi="Times New Roman" w:eastAsia="Times New Roman" w:cs="Times New Roman"/>
          <w:i w:val="1"/>
          <w:iCs w:val="1"/>
          <w:noProof w:val="0"/>
          <w:sz w:val="24"/>
          <w:szCs w:val="24"/>
          <w:lang w:val="en-US"/>
        </w:rPr>
        <w:t>Figure 1. Decision rules for rational and behavioral investors in the Investor class.</w:t>
      </w:r>
    </w:p>
    <w:p xmlns:wp14="http://schemas.microsoft.com/office/word/2010/wordml" w:rsidP="5D111AE4" wp14:paraId="2C24CF56" wp14:textId="0D7B31D7">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5D111AE4" w:rsidR="1504A4F6">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Environment and Time-Step Dynamics</w:t>
      </w:r>
    </w:p>
    <w:p xmlns:wp14="http://schemas.microsoft.com/office/word/2010/wordml" w:rsidP="5D111AE4" wp14:paraId="4997473E" wp14:textId="4063BD3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The shared environment is defined by the </w:t>
      </w: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Market</w:t>
      </w: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class, which stores the current price, the fixed fundamental value, and the population of agents. During each </w:t>
      </w: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time</w:t>
      </w: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step, all investors simultaneously decide whether to buy, sell, or hold. Aggregate buy and sell pressure </w:t>
      </w: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is</w:t>
      </w: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computed and converted into a net pressure term, which updates the market price according to a sensitivity parameter. After the price update, behavioral investors adjust their sentiment based on whether prices increased or decreased. This feedback loop allows optimism to amplify price growth, generating bubble-like behavior.</w:t>
      </w:r>
    </w:p>
    <w:p xmlns:wp14="http://schemas.microsoft.com/office/word/2010/wordml" w:rsidP="5D111AE4" wp14:paraId="5A55C871" wp14:textId="48D17644">
      <w:pPr>
        <w:pStyle w:val="Normal"/>
        <w:spacing w:before="240" w:beforeAutospacing="off" w:after="240" w:afterAutospacing="off"/>
        <w:jc w:val="center"/>
        <w:rPr>
          <w:rFonts w:ascii="Times New Roman" w:hAnsi="Times New Roman" w:eastAsia="Times New Roman" w:cs="Times New Roman"/>
          <w:i w:val="1"/>
          <w:iCs w:val="1"/>
          <w:noProof w:val="0"/>
          <w:sz w:val="24"/>
          <w:szCs w:val="24"/>
          <w:lang w:val="en-US"/>
        </w:rPr>
      </w:pPr>
      <w:r w:rsidR="2926ADA3">
        <w:drawing>
          <wp:inline xmlns:wp14="http://schemas.microsoft.com/office/word/2010/wordprocessingDrawing" wp14:editId="3D612094" wp14:anchorId="426F7E16">
            <wp:extent cx="5943600" cy="4105275"/>
            <wp:effectExtent l="0" t="0" r="0" b="0"/>
            <wp:docPr id="1225620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5620408" name="Picture 1225620408"/>
                    <pic:cNvPicPr/>
                  </pic:nvPicPr>
                  <pic:blipFill>
                    <a:blip xmlns:r="http://schemas.openxmlformats.org/officeDocument/2006/relationships" r:embed="rId1599928933">
                      <a:extLst>
                        <a:ext uri="{28A0092B-C50C-407E-A947-70E740481C1C}">
                          <a14:useLocalDpi xmlns:a14="http://schemas.microsoft.com/office/drawing/2010/main"/>
                        </a:ext>
                      </a:extLst>
                    </a:blip>
                    <a:stretch>
                      <a:fillRect/>
                    </a:stretch>
                  </pic:blipFill>
                  <pic:spPr>
                    <a:xfrm>
                      <a:off x="0" y="0"/>
                      <a:ext cx="5943600" cy="4105275"/>
                    </a:xfrm>
                    <a:prstGeom prst="rect">
                      <a:avLst/>
                    </a:prstGeom>
                  </pic:spPr>
                </pic:pic>
              </a:graphicData>
            </a:graphic>
          </wp:inline>
        </w:drawing>
      </w:r>
      <w:r w:rsidRPr="5D111AE4" w:rsidR="2926ADA3">
        <w:rPr>
          <w:rFonts w:ascii="Times New Roman" w:hAnsi="Times New Roman" w:eastAsia="Times New Roman" w:cs="Times New Roman"/>
          <w:i w:val="1"/>
          <w:iCs w:val="1"/>
          <w:noProof w:val="0"/>
          <w:sz w:val="24"/>
          <w:szCs w:val="24"/>
          <w:lang w:val="en-US"/>
        </w:rPr>
        <w:t>Figure 2. One time-step of the market simulation</w:t>
      </w:r>
      <w:r w:rsidRPr="5D111AE4" w:rsidR="19EBA2C2">
        <w:rPr>
          <w:rFonts w:ascii="Times New Roman" w:hAnsi="Times New Roman" w:eastAsia="Times New Roman" w:cs="Times New Roman"/>
          <w:i w:val="1"/>
          <w:iCs w:val="1"/>
          <w:noProof w:val="0"/>
          <w:sz w:val="24"/>
          <w:szCs w:val="24"/>
          <w:lang w:val="en-US"/>
        </w:rPr>
        <w:t>,</w:t>
      </w:r>
      <w:r w:rsidRPr="5D111AE4" w:rsidR="2926ADA3">
        <w:rPr>
          <w:rFonts w:ascii="Times New Roman" w:hAnsi="Times New Roman" w:eastAsia="Times New Roman" w:cs="Times New Roman"/>
          <w:i w:val="1"/>
          <w:iCs w:val="1"/>
          <w:noProof w:val="0"/>
          <w:sz w:val="24"/>
          <w:szCs w:val="24"/>
          <w:lang w:val="en-US"/>
        </w:rPr>
        <w:t xml:space="preserve"> including pressure aggregation and price updating.</w:t>
      </w:r>
    </w:p>
    <w:p xmlns:wp14="http://schemas.microsoft.com/office/word/2010/wordml" w:rsidP="5D111AE4" wp14:paraId="4CDEA4B1" wp14:textId="57FF6EA6">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5D111AE4" w:rsidR="1504A4F6">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Data Integration</w:t>
      </w:r>
    </w:p>
    <w:p xmlns:wp14="http://schemas.microsoft.com/office/word/2010/wordml" w:rsidP="5D111AE4" wp14:paraId="4B95D8A6" wp14:textId="25DB5B0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Empirical grounding is provided by </w:t>
      </w:r>
      <w:r w:rsidRPr="5D111AE4" w:rsidR="49D5075F">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Justinas </w:t>
      </w:r>
      <w:r w:rsidRPr="5D111AE4" w:rsidR="49D5075F">
        <w:rPr>
          <w:rFonts w:ascii="Times New Roman" w:hAnsi="Times New Roman" w:eastAsia="Times New Roman" w:cs="Times New Roman" w:asciiTheme="minorAscii" w:hAnsiTheme="minorAscii" w:eastAsiaTheme="minorAscii" w:cstheme="minorAscii"/>
          <w:noProof w:val="0"/>
          <w:color w:val="auto"/>
          <w:sz w:val="24"/>
          <w:szCs w:val="24"/>
          <w:lang w:val="en-US"/>
        </w:rPr>
        <w:t>Cirtautas</w:t>
      </w:r>
      <w:r w:rsidRPr="5D111AE4" w:rsidR="49D5075F">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 Kaggle (Startup Investments)</w:t>
      </w: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The market price is initialized using a startup’s </w:t>
      </w: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observed</w:t>
      </w: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post-money valuations from funding_rounds.csv, while the fundamental value is taken from the acquisition price in acquisitions.csv. Zero or missing valuations are removed to ensure economically meaningful inputs.</w:t>
      </w:r>
    </w:p>
    <w:p xmlns:wp14="http://schemas.microsoft.com/office/word/2010/wordml" w:rsidP="5D111AE4" wp14:paraId="19DFD879" wp14:textId="779ADF74">
      <w:pPr>
        <w:pStyle w:val="Normal"/>
        <w:spacing w:before="240" w:beforeAutospacing="off" w:after="240" w:afterAutospacing="off"/>
        <w:jc w:val="center"/>
        <w:rPr>
          <w:rFonts w:ascii="Times New Roman" w:hAnsi="Times New Roman" w:eastAsia="Times New Roman" w:cs="Times New Roman"/>
          <w:i w:val="1"/>
          <w:iCs w:val="1"/>
          <w:noProof w:val="0"/>
          <w:sz w:val="24"/>
          <w:szCs w:val="24"/>
          <w:lang w:val="en-US"/>
        </w:rPr>
      </w:pPr>
      <w:r w:rsidR="78D21772">
        <w:drawing>
          <wp:inline xmlns:wp14="http://schemas.microsoft.com/office/word/2010/wordprocessingDrawing" wp14:editId="2BC68539" wp14:anchorId="2E3B8E44">
            <wp:extent cx="5943600" cy="3381375"/>
            <wp:effectExtent l="0" t="0" r="0" b="0"/>
            <wp:docPr id="369579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9579632" name="Picture 369579632"/>
                    <pic:cNvPicPr/>
                  </pic:nvPicPr>
                  <pic:blipFill>
                    <a:blip xmlns:r="http://schemas.openxmlformats.org/officeDocument/2006/relationships" r:embed="rId1234135110">
                      <a:extLst>
                        <a:ext uri="{28A0092B-C50C-407E-A947-70E740481C1C}">
                          <a14:useLocalDpi xmlns:a14="http://schemas.microsoft.com/office/drawing/2010/main"/>
                        </a:ext>
                      </a:extLst>
                    </a:blip>
                    <a:stretch>
                      <a:fillRect/>
                    </a:stretch>
                  </pic:blipFill>
                  <pic:spPr>
                    <a:xfrm>
                      <a:off x="0" y="0"/>
                      <a:ext cx="5943600" cy="3381375"/>
                    </a:xfrm>
                    <a:prstGeom prst="rect">
                      <a:avLst/>
                    </a:prstGeom>
                  </pic:spPr>
                </pic:pic>
              </a:graphicData>
            </a:graphic>
          </wp:inline>
        </w:drawing>
      </w:r>
      <w:r w:rsidRPr="5D111AE4" w:rsidR="5C922417">
        <w:rPr>
          <w:rFonts w:ascii="Times New Roman" w:hAnsi="Times New Roman" w:eastAsia="Times New Roman" w:cs="Times New Roman"/>
          <w:i w:val="1"/>
          <w:iCs w:val="1"/>
          <w:noProof w:val="0"/>
          <w:sz w:val="24"/>
          <w:szCs w:val="24"/>
          <w:lang w:val="en-US"/>
        </w:rPr>
        <w:t xml:space="preserve">Figure 3. Loading and cleaning valuation and acquisition data from the Startup Investments dataset (Provider: Justinas </w:t>
      </w:r>
      <w:r w:rsidRPr="5D111AE4" w:rsidR="5C922417">
        <w:rPr>
          <w:rFonts w:ascii="Times New Roman" w:hAnsi="Times New Roman" w:eastAsia="Times New Roman" w:cs="Times New Roman"/>
          <w:i w:val="1"/>
          <w:iCs w:val="1"/>
          <w:noProof w:val="0"/>
          <w:sz w:val="24"/>
          <w:szCs w:val="24"/>
          <w:lang w:val="en-US"/>
        </w:rPr>
        <w:t>Cirtautas</w:t>
      </w:r>
      <w:r w:rsidRPr="5D111AE4" w:rsidR="5C922417">
        <w:rPr>
          <w:rFonts w:ascii="Times New Roman" w:hAnsi="Times New Roman" w:eastAsia="Times New Roman" w:cs="Times New Roman"/>
          <w:i w:val="1"/>
          <w:iCs w:val="1"/>
          <w:noProof w:val="0"/>
          <w:sz w:val="24"/>
          <w:szCs w:val="24"/>
          <w:lang w:val="en-US"/>
        </w:rPr>
        <w:t xml:space="preserve"> – Kaggle).</w:t>
      </w:r>
    </w:p>
    <w:p xmlns:wp14="http://schemas.microsoft.com/office/word/2010/wordml" w:rsidP="5D111AE4" wp14:paraId="49109722" wp14:textId="028331D4">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5D111AE4" w:rsidR="1504A4F6">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Outputs</w:t>
      </w:r>
    </w:p>
    <w:p xmlns:wp14="http://schemas.microsoft.com/office/word/2010/wordml" w:rsidP="5D111AE4" wp14:paraId="07866F06" wp14:textId="38E4216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The model records the full price path and </w:t>
      </w: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buy</w:t>
      </w: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/sell pressure over time. Upon completion, it generates two visualizations: (1) market price </w:t>
      </w: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relative</w:t>
      </w:r>
      <w:r w:rsidRPr="5D111AE4" w:rsidR="1504A4F6">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to the fundamental value and (2) buy versus sell pressure. These outputs are used both in calibration and in scenario simulations to interpret model dynamics.</w:t>
      </w:r>
    </w:p>
    <w:p xmlns:wp14="http://schemas.microsoft.com/office/word/2010/wordml" w:rsidP="5D111AE4" wp14:paraId="2C078E63" wp14:textId="57CE72FF">
      <w:pPr>
        <w:rPr>
          <w:rFonts w:ascii="Times New Roman" w:hAnsi="Times New Roman" w:eastAsia="Times New Roman" w:cs="Times New Roman" w:asciiTheme="minorAscii" w:hAnsiTheme="minorAscii" w:eastAsiaTheme="minorAscii" w:cstheme="minorAscii"/>
          <w:b w:val="1"/>
          <w:bCs w:val="1"/>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B22894"/>
    <w:rsid w:val="1246F55A"/>
    <w:rsid w:val="1504A4F6"/>
    <w:rsid w:val="19EBA2C2"/>
    <w:rsid w:val="2926ADA3"/>
    <w:rsid w:val="294B92A2"/>
    <w:rsid w:val="328A9D15"/>
    <w:rsid w:val="3BF0C019"/>
    <w:rsid w:val="42634C35"/>
    <w:rsid w:val="49D5075F"/>
    <w:rsid w:val="50B22894"/>
    <w:rsid w:val="5381CBFA"/>
    <w:rsid w:val="5C922417"/>
    <w:rsid w:val="5D111AE4"/>
    <w:rsid w:val="5ECA7C0E"/>
    <w:rsid w:val="68212AD3"/>
    <w:rsid w:val="78D21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22894"/>
  <w15:chartTrackingRefBased/>
  <w15:docId w15:val="{C425FE96-F55B-46A1-B07E-4787AF1E2B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D111AE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D111AE4"/>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90399428" /><Relationship Type="http://schemas.openxmlformats.org/officeDocument/2006/relationships/image" Target="/media/image2.png" Id="rId1599928933" /><Relationship Type="http://schemas.openxmlformats.org/officeDocument/2006/relationships/image" Target="/media/image3.png" Id="rId12341351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2025-12-19T20:45:21.5624645Z</dcterms:created>
  <dcterms:modified xsi:type="dcterms:W3CDTF">2025-12-19T20:58:10.1959619Z</dcterms:modified>
  <dc:creator>Vo, Latherine</dc:creator>
  <lastModifiedBy>Vo, Latherine</lastModifiedBy>
</coreProperties>
</file>