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6C657" w14:textId="77777777" w:rsidR="00B70C82" w:rsidRDefault="00000000">
      <w:pPr>
        <w:spacing w:before="480" w:after="120"/>
        <w:jc w:val="center"/>
      </w:pPr>
      <w:r>
        <w:rPr>
          <w:b/>
          <w:bCs/>
          <w:color w:val="1F3864"/>
          <w:sz w:val="48"/>
          <w:szCs w:val="48"/>
        </w:rPr>
        <w:t>U.S. Housing Affordability Crisis</w:t>
      </w:r>
    </w:p>
    <w:p w14:paraId="1BC397AD" w14:textId="77777777" w:rsidR="00B70C82" w:rsidRDefault="00000000">
      <w:pPr>
        <w:spacing w:after="80"/>
        <w:jc w:val="center"/>
      </w:pPr>
      <w:r>
        <w:rPr>
          <w:color w:val="2E5090"/>
          <w:sz w:val="28"/>
          <w:szCs w:val="28"/>
        </w:rPr>
        <w:t>A Data Visualization Project</w:t>
      </w:r>
    </w:p>
    <w:p w14:paraId="399E97CD" w14:textId="77777777" w:rsidR="00B70C82" w:rsidRDefault="00000000">
      <w:pPr>
        <w:spacing w:after="80"/>
        <w:jc w:val="center"/>
      </w:pPr>
      <w:r>
        <w:rPr>
          <w:i/>
          <w:iCs/>
          <w:color w:val="666666"/>
          <w:sz w:val="22"/>
          <w:szCs w:val="22"/>
        </w:rPr>
        <w:t>Financial Pressures Facing Younger Generations in the United States</w:t>
      </w:r>
    </w:p>
    <w:p w14:paraId="143256B0" w14:textId="03EEB731" w:rsidR="00B70C82" w:rsidRDefault="00F84BC6">
      <w:pPr>
        <w:spacing w:after="480"/>
        <w:jc w:val="center"/>
      </w:pPr>
      <w:r>
        <w:rPr>
          <w:color w:val="666666"/>
          <w:sz w:val="22"/>
          <w:szCs w:val="22"/>
        </w:rPr>
        <w:t>Linh</w:t>
      </w:r>
      <w:r w:rsidR="00000000">
        <w:rPr>
          <w:color w:val="666666"/>
          <w:sz w:val="22"/>
          <w:szCs w:val="22"/>
        </w:rPr>
        <w:t xml:space="preserve"> Vo</w:t>
      </w:r>
    </w:p>
    <w:p w14:paraId="6A344ECA" w14:textId="77777777" w:rsidR="00B70C82" w:rsidRDefault="00B70C82">
      <w:pPr>
        <w:pBdr>
          <w:bottom w:val="single" w:sz="6" w:space="1" w:color="2E5090"/>
        </w:pBdr>
        <w:spacing w:before="120" w:after="120"/>
      </w:pPr>
    </w:p>
    <w:p w14:paraId="73BF85B4" w14:textId="77777777" w:rsidR="00B70C82" w:rsidRDefault="00B70C82">
      <w:pPr>
        <w:spacing w:before="120" w:after="120"/>
      </w:pPr>
    </w:p>
    <w:p w14:paraId="157940EE" w14:textId="77777777" w:rsidR="00B70C82" w:rsidRDefault="00000000">
      <w:pPr>
        <w:pStyle w:val="Heading1"/>
      </w:pPr>
      <w:r>
        <w:t>Position Statement</w:t>
      </w:r>
    </w:p>
    <w:p w14:paraId="67BCABB9" w14:textId="77777777" w:rsidR="00B70C82" w:rsidRDefault="00000000">
      <w:pPr>
        <w:pBdr>
          <w:left w:val="thick" w:sz="12" w:space="10" w:color="2E5090"/>
        </w:pBdr>
        <w:spacing w:before="120" w:after="180"/>
        <w:ind w:left="360"/>
        <w:jc w:val="both"/>
      </w:pPr>
      <w:r>
        <w:rPr>
          <w:i/>
          <w:iCs/>
          <w:color w:val="1F3864"/>
        </w:rPr>
        <w:t xml:space="preserve">The U.S. housing affordability crisis for first-time millennial buyers is rooted in the collapse of homebuilding after 2008 which permanently starved the market of supply. When mortgage rates increased in 2022, buyers faced record-high prices and record-high borrowing costs simultaneously. However, geographic </w:t>
      </w:r>
      <w:proofErr w:type="gramStart"/>
      <w:r>
        <w:rPr>
          <w:i/>
          <w:iCs/>
          <w:color w:val="1F3864"/>
        </w:rPr>
        <w:t>opportunity still exists</w:t>
      </w:r>
      <w:proofErr w:type="gramEnd"/>
      <w:r>
        <w:rPr>
          <w:i/>
          <w:iCs/>
          <w:color w:val="1F3864"/>
        </w:rPr>
        <w:t xml:space="preserve"> in stable, affordable metros where people can enter the market today.</w:t>
      </w:r>
    </w:p>
    <w:p w14:paraId="4C14BA10" w14:textId="77777777" w:rsidR="00B70C82" w:rsidRDefault="00B70C82">
      <w:pPr>
        <w:spacing w:before="120" w:after="120"/>
      </w:pPr>
    </w:p>
    <w:p w14:paraId="5232DA31" w14:textId="77777777" w:rsidR="00B70C82" w:rsidRDefault="00000000">
      <w:pPr>
        <w:pStyle w:val="Heading1"/>
      </w:pPr>
      <w:r>
        <w:t>Context</w:t>
      </w:r>
    </w:p>
    <w:p w14:paraId="03E9769A" w14:textId="77777777" w:rsidR="00B70C82" w:rsidRDefault="00000000">
      <w:pPr>
        <w:spacing w:before="80" w:after="80"/>
        <w:jc w:val="both"/>
      </w:pPr>
      <w:r>
        <w:t>This project is the second part of a broader analysis on the financial pressures facing younger generations in the United States. The first project established three narratives: housing is consuming a growing share of income relative to earnings, Gen Z carries higher student debt yet maintains comparable saving rates, and consumption dominates income allocation leaving limited room for saving.</w:t>
      </w:r>
    </w:p>
    <w:p w14:paraId="2E779B88" w14:textId="77777777" w:rsidR="00B70C82" w:rsidRDefault="00B70C82">
      <w:pPr>
        <w:spacing w:before="120" w:after="120"/>
      </w:pPr>
    </w:p>
    <w:p w14:paraId="3D9682FA" w14:textId="77777777" w:rsidR="00B70C82" w:rsidRDefault="00000000">
      <w:pPr>
        <w:spacing w:before="80" w:after="80"/>
        <w:jc w:val="both"/>
      </w:pPr>
      <w:r>
        <w:t>This project investigates the structural root cause of the housing affordability decline identified in Narrative 1 — specifically the 2008 construction collapse and its compounding effect through 2025 — and identifies where geographic opportunity still exists for first-time millennial buyers today.</w:t>
      </w:r>
    </w:p>
    <w:p w14:paraId="522B911A" w14:textId="77777777" w:rsidR="00B70C82" w:rsidRDefault="00B70C82">
      <w:pPr>
        <w:spacing w:before="120" w:after="120"/>
      </w:pPr>
    </w:p>
    <w:p w14:paraId="6C6A7BF1" w14:textId="77777777" w:rsidR="00B70C82" w:rsidRDefault="00000000">
      <w:pPr>
        <w:pStyle w:val="Heading1"/>
      </w:pPr>
      <w:r>
        <w:t>Key Validated Data Points</w:t>
      </w:r>
    </w:p>
    <w:p w14:paraId="4C21C329" w14:textId="77777777" w:rsidR="00B70C82" w:rsidRDefault="00B70C82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70C82" w14:paraId="51FE534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48EA6A" w14:textId="77777777" w:rsidR="00B70C82" w:rsidRDefault="00000000">
            <w:r>
              <w:rPr>
                <w:b/>
                <w:bCs/>
                <w:color w:val="FFFFFF"/>
                <w:sz w:val="22"/>
                <w:szCs w:val="22"/>
              </w:rPr>
              <w:t>Indicator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55BB46" w14:textId="77777777" w:rsidR="00B70C82" w:rsidRDefault="00000000">
            <w:r>
              <w:rPr>
                <w:b/>
                <w:bCs/>
                <w:color w:val="FFFFFF"/>
                <w:sz w:val="22"/>
                <w:szCs w:val="22"/>
              </w:rPr>
              <w:t>Finding</w:t>
            </w:r>
          </w:p>
        </w:tc>
      </w:tr>
      <w:tr w:rsidR="00B70C82" w14:paraId="6A0E701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CEC050" w14:textId="77777777" w:rsidR="00B70C82" w:rsidRDefault="00000000">
            <w:r>
              <w:rPr>
                <w:color w:val="000000"/>
                <w:sz w:val="22"/>
                <w:szCs w:val="22"/>
              </w:rPr>
              <w:t>Housing starts peak (2005)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B482E6" w14:textId="77777777" w:rsidR="00B70C82" w:rsidRDefault="00000000">
            <w:r>
              <w:rPr>
                <w:color w:val="000000"/>
                <w:sz w:val="22"/>
                <w:szCs w:val="22"/>
              </w:rPr>
              <w:t>1,718 thousand units</w:t>
            </w:r>
          </w:p>
        </w:tc>
      </w:tr>
      <w:tr w:rsidR="00B70C82" w14:paraId="3519D2C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F02270" w14:textId="77777777" w:rsidR="00B70C82" w:rsidRDefault="00000000">
            <w:r>
              <w:rPr>
                <w:color w:val="000000"/>
                <w:sz w:val="22"/>
                <w:szCs w:val="22"/>
              </w:rPr>
              <w:t>Housing starts trough (2009)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65FFFA" w14:textId="77777777" w:rsidR="00B70C82" w:rsidRDefault="00000000">
            <w:r>
              <w:rPr>
                <w:color w:val="000000"/>
                <w:sz w:val="22"/>
                <w:szCs w:val="22"/>
              </w:rPr>
              <w:t>442 thousand units — down 74%</w:t>
            </w:r>
          </w:p>
        </w:tc>
      </w:tr>
      <w:tr w:rsidR="00B70C82" w14:paraId="3E787CE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B784D7" w14:textId="77777777" w:rsidR="00B70C82" w:rsidRDefault="00000000">
            <w:r>
              <w:rPr>
                <w:color w:val="000000"/>
                <w:sz w:val="22"/>
                <w:szCs w:val="22"/>
              </w:rPr>
              <w:lastRenderedPageBreak/>
              <w:t>Recovery gap (2025)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700B91" w14:textId="77777777" w:rsidR="00B70C82" w:rsidRDefault="00000000">
            <w:r>
              <w:rPr>
                <w:color w:val="000000"/>
                <w:sz w:val="22"/>
                <w:szCs w:val="22"/>
              </w:rPr>
              <w:t>Still 30.6% below pre-crisis average of 1,400k</w:t>
            </w:r>
          </w:p>
        </w:tc>
      </w:tr>
      <w:tr w:rsidR="00B70C82" w14:paraId="238C9FF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5BE7AF" w14:textId="77777777" w:rsidR="00B70C82" w:rsidRDefault="00000000">
            <w:r>
              <w:rPr>
                <w:color w:val="000000"/>
                <w:sz w:val="22"/>
                <w:szCs w:val="22"/>
              </w:rPr>
              <w:t>Active listings decline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D3E888" w14:textId="77777777" w:rsidR="00B70C82" w:rsidRDefault="00000000">
            <w:r>
              <w:rPr>
                <w:color w:val="000000"/>
                <w:sz w:val="22"/>
                <w:szCs w:val="22"/>
              </w:rPr>
              <w:t>Down 24.82% from 2016 peak</w:t>
            </w:r>
          </w:p>
        </w:tc>
      </w:tr>
      <w:tr w:rsidR="00B70C82" w14:paraId="3B1AD54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E0C82D" w14:textId="77777777" w:rsidR="00B70C82" w:rsidRDefault="00000000">
            <w:r>
              <w:rPr>
                <w:color w:val="000000"/>
                <w:sz w:val="22"/>
                <w:szCs w:val="22"/>
              </w:rPr>
              <w:t>Median home price today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6C4835" w14:textId="77777777" w:rsidR="00B70C82" w:rsidRDefault="00000000">
            <w:r>
              <w:rPr>
                <w:color w:val="000000"/>
                <w:sz w:val="22"/>
                <w:szCs w:val="22"/>
              </w:rPr>
              <w:t>$405,000 — up 100% vs pre-crisis average</w:t>
            </w:r>
          </w:p>
        </w:tc>
      </w:tr>
      <w:tr w:rsidR="00B70C82" w14:paraId="67C20A5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74A4DE" w14:textId="77777777" w:rsidR="00B70C82" w:rsidRDefault="00000000">
            <w:r>
              <w:rPr>
                <w:color w:val="000000"/>
                <w:sz w:val="22"/>
                <w:szCs w:val="22"/>
              </w:rPr>
              <w:t>Home Price Index (2025)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E5823D" w14:textId="77777777" w:rsidR="00B70C82" w:rsidRDefault="00000000">
            <w:r>
              <w:rPr>
                <w:color w:val="000000"/>
                <w:sz w:val="22"/>
                <w:szCs w:val="22"/>
              </w:rPr>
              <w:t>Over 320 — tripled since 2000 baseline of 100</w:t>
            </w:r>
          </w:p>
        </w:tc>
      </w:tr>
      <w:tr w:rsidR="00B70C82" w14:paraId="682D881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14986F" w14:textId="77777777" w:rsidR="00B70C82" w:rsidRDefault="00000000">
            <w:r>
              <w:rPr>
                <w:color w:val="000000"/>
                <w:sz w:val="22"/>
                <w:szCs w:val="22"/>
              </w:rPr>
              <w:t>Mortgage rate 2020 (low)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289D76" w14:textId="77777777" w:rsidR="00B70C82" w:rsidRDefault="00000000">
            <w:proofErr w:type="gramStart"/>
            <w:r>
              <w:rPr>
                <w:color w:val="000000"/>
                <w:sz w:val="22"/>
                <w:szCs w:val="22"/>
              </w:rPr>
              <w:t>3.0% —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historic low driven by pandemic policy</w:t>
            </w:r>
          </w:p>
        </w:tc>
      </w:tr>
      <w:tr w:rsidR="00B70C82" w14:paraId="66ED622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CBAEFB" w14:textId="77777777" w:rsidR="00B70C82" w:rsidRDefault="00000000">
            <w:r>
              <w:rPr>
                <w:color w:val="000000"/>
                <w:sz w:val="22"/>
                <w:szCs w:val="22"/>
              </w:rPr>
              <w:t>Mortgage rate 2023 (peak)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04A2FB" w14:textId="77777777" w:rsidR="00B70C82" w:rsidRDefault="00000000">
            <w:proofErr w:type="gramStart"/>
            <w:r>
              <w:rPr>
                <w:color w:val="000000"/>
                <w:sz w:val="22"/>
                <w:szCs w:val="22"/>
              </w:rPr>
              <w:t>6.8% —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fastest rate hike cycle in 40 years</w:t>
            </w:r>
          </w:p>
        </w:tc>
      </w:tr>
      <w:tr w:rsidR="00B70C82" w14:paraId="43523F2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DC673D" w14:textId="77777777" w:rsidR="00B70C82" w:rsidRDefault="00000000">
            <w:r>
              <w:rPr>
                <w:color w:val="000000"/>
                <w:sz w:val="22"/>
                <w:szCs w:val="22"/>
              </w:rPr>
              <w:t xml:space="preserve">Under 35 homeownership </w:t>
            </w:r>
            <w:proofErr w:type="gramStart"/>
            <w:r>
              <w:rPr>
                <w:color w:val="000000"/>
                <w:sz w:val="22"/>
                <w:szCs w:val="22"/>
              </w:rPr>
              <w:t>peak</w:t>
            </w:r>
            <w:proofErr w:type="gram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71518D" w14:textId="77777777" w:rsidR="00B70C82" w:rsidRDefault="00000000">
            <w:r>
              <w:rPr>
                <w:color w:val="000000"/>
                <w:sz w:val="22"/>
                <w:szCs w:val="22"/>
              </w:rPr>
              <w:t>43.1% (</w:t>
            </w:r>
            <w:proofErr w:type="gramStart"/>
            <w:r>
              <w:rPr>
                <w:color w:val="000000"/>
                <w:sz w:val="22"/>
                <w:szCs w:val="22"/>
              </w:rPr>
              <w:t>2004) —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pre-crisis high</w:t>
            </w:r>
          </w:p>
        </w:tc>
      </w:tr>
      <w:tr w:rsidR="00B70C82" w14:paraId="0482B53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4D8619" w14:textId="77777777" w:rsidR="00B70C82" w:rsidRDefault="00000000">
            <w:r>
              <w:rPr>
                <w:color w:val="000000"/>
                <w:sz w:val="22"/>
                <w:szCs w:val="22"/>
              </w:rPr>
              <w:t xml:space="preserve">Under 35 </w:t>
            </w:r>
            <w:proofErr w:type="gramStart"/>
            <w:r>
              <w:rPr>
                <w:color w:val="000000"/>
                <w:sz w:val="22"/>
                <w:szCs w:val="22"/>
              </w:rPr>
              <w:t>homeownership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low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1E3922" w14:textId="77777777" w:rsidR="00B70C82" w:rsidRDefault="00000000">
            <w:r>
              <w:rPr>
                <w:color w:val="000000"/>
                <w:sz w:val="22"/>
                <w:szCs w:val="22"/>
              </w:rPr>
              <w:t>34.5% (2016) — post-crisis low, never fully recovered</w:t>
            </w:r>
          </w:p>
        </w:tc>
      </w:tr>
      <w:tr w:rsidR="00B70C82" w14:paraId="017A5D7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6E5C4A" w14:textId="77777777" w:rsidR="00B70C82" w:rsidRDefault="00000000">
            <w:r>
              <w:rPr>
                <w:color w:val="000000"/>
                <w:sz w:val="22"/>
                <w:szCs w:val="22"/>
              </w:rPr>
              <w:t>Under 35 homeownership (2021)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D758E7" w14:textId="77777777" w:rsidR="00B70C82" w:rsidRDefault="00000000">
            <w:r>
              <w:rPr>
                <w:color w:val="000000"/>
                <w:sz w:val="22"/>
                <w:szCs w:val="22"/>
              </w:rPr>
              <w:t>38.2% — still below pre-crisis level</w:t>
            </w:r>
          </w:p>
        </w:tc>
      </w:tr>
      <w:tr w:rsidR="00B70C82" w14:paraId="150A946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60D6B4" w14:textId="77777777" w:rsidR="00B70C82" w:rsidRDefault="00000000">
            <w:r>
              <w:rPr>
                <w:color w:val="000000"/>
                <w:sz w:val="22"/>
                <w:szCs w:val="22"/>
              </w:rPr>
              <w:t>Most expensive state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1998DF" w14:textId="77777777" w:rsidR="00B70C82" w:rsidRDefault="00000000">
            <w:r>
              <w:rPr>
                <w:color w:val="000000"/>
                <w:sz w:val="22"/>
                <w:szCs w:val="22"/>
              </w:rPr>
              <w:t>Hawaii — $856,614 average</w:t>
            </w:r>
          </w:p>
        </w:tc>
      </w:tr>
      <w:tr w:rsidR="00B70C82" w14:paraId="0A7AC56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EB2055" w14:textId="77777777" w:rsidR="00B70C82" w:rsidRDefault="00000000">
            <w:r>
              <w:rPr>
                <w:color w:val="000000"/>
                <w:sz w:val="22"/>
                <w:szCs w:val="22"/>
              </w:rPr>
              <w:t>Most affordable state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444794" w14:textId="77777777" w:rsidR="00B70C82" w:rsidRDefault="00000000">
            <w:r>
              <w:rPr>
                <w:color w:val="000000"/>
                <w:sz w:val="22"/>
                <w:szCs w:val="22"/>
              </w:rPr>
              <w:t>West Virginia — $164,884 average (5x gap)</w:t>
            </w:r>
          </w:p>
        </w:tc>
      </w:tr>
    </w:tbl>
    <w:p w14:paraId="22F46CBE" w14:textId="77777777" w:rsidR="00B70C82" w:rsidRDefault="00B70C82">
      <w:pPr>
        <w:spacing w:before="120" w:after="120"/>
      </w:pPr>
    </w:p>
    <w:p w14:paraId="15FC8AD2" w14:textId="77777777" w:rsidR="00B70C82" w:rsidRDefault="00000000">
      <w:pPr>
        <w:pStyle w:val="Heading1"/>
      </w:pPr>
      <w:r>
        <w:t>Dashboard Structure</w:t>
      </w:r>
    </w:p>
    <w:p w14:paraId="14664CF2" w14:textId="77777777" w:rsidR="00B70C82" w:rsidRDefault="00000000">
      <w:pPr>
        <w:spacing w:before="80" w:after="80"/>
        <w:jc w:val="both"/>
      </w:pPr>
      <w:r>
        <w:t>The Power BI dashboard is organized across three pages. Each page answers a distinct dimension of the position statement</w:t>
      </w:r>
      <w:proofErr w:type="gramStart"/>
      <w:r>
        <w:t>, building</w:t>
      </w:r>
      <w:proofErr w:type="gramEnd"/>
      <w:r>
        <w:t xml:space="preserve"> from cause to consequence to geographic solution.</w:t>
      </w:r>
    </w:p>
    <w:p w14:paraId="33A28B4C" w14:textId="77777777" w:rsidR="00B70C82" w:rsidRDefault="00B70C82">
      <w:pPr>
        <w:spacing w:before="120" w:after="120"/>
      </w:pPr>
    </w:p>
    <w:p w14:paraId="7DC6C2F7" w14:textId="77777777" w:rsidR="00B70C82" w:rsidRDefault="00000000">
      <w:pPr>
        <w:pStyle w:val="Heading2"/>
      </w:pPr>
      <w:r>
        <w:t>Page 1 — The Crisis Story</w:t>
      </w:r>
    </w:p>
    <w:p w14:paraId="4D326E33" w14:textId="77777777" w:rsidR="00B70C82" w:rsidRDefault="00000000">
      <w:pPr>
        <w:spacing w:before="80" w:after="80"/>
        <w:jc w:val="both"/>
      </w:pPr>
      <w:r>
        <w:t>Establishes the national housing crisis and its root cause in three panels:</w:t>
      </w:r>
    </w:p>
    <w:p w14:paraId="22BA66BB" w14:textId="77777777" w:rsidR="00B70C82" w:rsidRDefault="00B70C82">
      <w:pPr>
        <w:spacing w:before="120" w:after="120"/>
      </w:pPr>
    </w:p>
    <w:p w14:paraId="04360895" w14:textId="77777777" w:rsidR="00B70C82" w:rsidRDefault="00000000">
      <w:pPr>
        <w:pStyle w:val="ListParagraph"/>
        <w:numPr>
          <w:ilvl w:val="0"/>
          <w:numId w:val="2"/>
        </w:numPr>
        <w:spacing w:before="60" w:after="60"/>
      </w:pPr>
      <w:r>
        <w:t>Panel 1 — The Collapse That Started It All: Line chart of U.S. single-family housing starts 2000–2025. Shows the 2005 peak at 1,718 units, the 74% collapse to 442 units by 2009, and the failure to cross back above the pre-crisis average of 1,400 units in 15 years of recovery. This is the root cause of the entire crisis.</w:t>
      </w:r>
    </w:p>
    <w:p w14:paraId="27F3EC89" w14:textId="77777777" w:rsidR="00B70C82" w:rsidRDefault="00000000">
      <w:pPr>
        <w:pStyle w:val="ListParagraph"/>
        <w:numPr>
          <w:ilvl w:val="0"/>
          <w:numId w:val="2"/>
        </w:numPr>
        <w:spacing w:before="60" w:after="60"/>
      </w:pPr>
      <w:r>
        <w:t>Panel 2 — Higher Borrowing Cost: Bar chart of median mortgage rates 2016–2025. Rates held low at 3.0% through 2020 then spiked to 6.8% in 2023. Normally high rates cool prices — but with supply so constrained from 2008 the rate hike barely moved prices, leaving buyers squeezed from both sides simultaneously.</w:t>
      </w:r>
    </w:p>
    <w:p w14:paraId="53C60448" w14:textId="3BA44300" w:rsidR="00B70C82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 xml:space="preserve">Panel 3 — The Price Burden Keeps Growing: Area chart of Home Price Index 2000–2025. The index was at 100 in 2000 and </w:t>
      </w:r>
      <w:proofErr w:type="gramStart"/>
      <w:r>
        <w:t>has risen</w:t>
      </w:r>
      <w:proofErr w:type="gramEnd"/>
      <w:r>
        <w:t xml:space="preserve"> above 320 by 2025, with a sharp acceleration after 2020. The 2008 dip was mild</w:t>
      </w:r>
      <w:r w:rsidR="00F84BC6">
        <w:t xml:space="preserve">, which </w:t>
      </w:r>
      <w:r>
        <w:t>prices barely paused before resuming their climb, proving the supply shortage made normal price correction impossible.</w:t>
      </w:r>
    </w:p>
    <w:p w14:paraId="6E9F270E" w14:textId="77777777" w:rsidR="00B70C82" w:rsidRDefault="00B70C82">
      <w:pPr>
        <w:spacing w:before="120" w:after="120"/>
      </w:pPr>
    </w:p>
    <w:p w14:paraId="6AAA2950" w14:textId="77777777" w:rsidR="00B70C82" w:rsidRDefault="00000000">
      <w:pPr>
        <w:pStyle w:val="Heading2"/>
      </w:pPr>
      <w:r>
        <w:t>Page 2 — A Generation Left Behind</w:t>
      </w:r>
    </w:p>
    <w:p w14:paraId="1CFFCB30" w14:textId="77777777" w:rsidR="00B70C82" w:rsidRDefault="00000000">
      <w:pPr>
        <w:spacing w:before="80" w:after="80"/>
        <w:jc w:val="both"/>
      </w:pPr>
      <w:r>
        <w:t>Demonstrates the generational dimension of the crisis using homeownership rates by age group:</w:t>
      </w:r>
    </w:p>
    <w:p w14:paraId="1C22C436" w14:textId="77777777" w:rsidR="00B70C82" w:rsidRDefault="00B70C82">
      <w:pPr>
        <w:spacing w:before="120" w:after="120"/>
      </w:pPr>
    </w:p>
    <w:p w14:paraId="7CCE01F0" w14:textId="77777777" w:rsidR="00B70C82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Panel 4 — A Generation Locked Out: Line chart of homeownership rates by age group 1982–2021 with a </w:t>
      </w:r>
      <w:proofErr w:type="spellStart"/>
      <w:r>
        <w:t>Pre Crisis</w:t>
      </w:r>
      <w:proofErr w:type="spellEnd"/>
      <w:r>
        <w:t xml:space="preserve"> / Post Crisis slicer toggle.</w:t>
      </w:r>
    </w:p>
    <w:p w14:paraId="062D487B" w14:textId="77777777" w:rsidR="00B70C82" w:rsidRDefault="00000000">
      <w:pPr>
        <w:pStyle w:val="ListParagraph"/>
        <w:numPr>
          <w:ilvl w:val="0"/>
          <w:numId w:val="2"/>
        </w:numPr>
        <w:spacing w:before="60" w:after="60"/>
      </w:pPr>
      <w:r>
        <w:t>Pre Crisis view (2001–2008): All age groups stable. Under 35 around 42%, 65 and over around 80%. Homeownership was broadly accessible across generations.</w:t>
      </w:r>
    </w:p>
    <w:p w14:paraId="12424691" w14:textId="77777777" w:rsidR="00B70C82" w:rsidRDefault="00000000">
      <w:pPr>
        <w:pStyle w:val="ListParagraph"/>
        <w:numPr>
          <w:ilvl w:val="0"/>
          <w:numId w:val="2"/>
        </w:numPr>
        <w:spacing w:before="60" w:after="60"/>
      </w:pPr>
      <w:r>
        <w:t>Post Crisis view (2009–2025): Under 35 dropped from 43% to a historic low of 34.5% by 2016 and recovered only partially to 38.2% by 2021. The 35–44 group fell from 69% to 58%. Older generations 55–64 and 65 and over barely moved, staying around 75–80% throughout.</w:t>
      </w:r>
    </w:p>
    <w:p w14:paraId="1399DEC7" w14:textId="7CDC1B1E" w:rsidR="00B70C82" w:rsidRDefault="00000000">
      <w:pPr>
        <w:pStyle w:val="ListParagraph"/>
        <w:numPr>
          <w:ilvl w:val="0"/>
          <w:numId w:val="2"/>
        </w:numPr>
        <w:spacing w:before="60" w:after="60"/>
      </w:pPr>
      <w:r>
        <w:t>Key insight: This is not a universal housing problem. Older Americans were protected because they already owned homes before the crisis. Millennials entered the market at the exact worst structural moment</w:t>
      </w:r>
      <w:r w:rsidR="00F84BC6">
        <w:t>,</w:t>
      </w:r>
      <w:r>
        <w:t xml:space="preserve"> peak prices, peak rates, minimum supply</w:t>
      </w:r>
      <w:r w:rsidR="00F84BC6">
        <w:t xml:space="preserve">, </w:t>
      </w:r>
      <w:r>
        <w:t>all simultaneously.</w:t>
      </w:r>
    </w:p>
    <w:p w14:paraId="11043151" w14:textId="77777777" w:rsidR="00B70C82" w:rsidRDefault="00B70C82">
      <w:pPr>
        <w:spacing w:before="120" w:after="120"/>
      </w:pPr>
    </w:p>
    <w:p w14:paraId="68E4ACAA" w14:textId="77777777" w:rsidR="00B70C82" w:rsidRDefault="00000000">
      <w:pPr>
        <w:pStyle w:val="Heading2"/>
      </w:pPr>
      <w:r>
        <w:t>Page 3 — Where You Live Matters</w:t>
      </w:r>
    </w:p>
    <w:p w14:paraId="27C0F776" w14:textId="77777777" w:rsidR="00B70C82" w:rsidRDefault="00000000">
      <w:pPr>
        <w:spacing w:before="80" w:after="80"/>
        <w:jc w:val="both"/>
      </w:pPr>
      <w:r>
        <w:t>Demonstrates that while borrowing costs are national, price barriers are geographic — and opportunity still exists:</w:t>
      </w:r>
    </w:p>
    <w:p w14:paraId="30E22D74" w14:textId="77777777" w:rsidR="00B70C82" w:rsidRDefault="00B70C82">
      <w:pPr>
        <w:spacing w:before="120" w:after="120"/>
      </w:pPr>
    </w:p>
    <w:p w14:paraId="6FF68ED5" w14:textId="77777777" w:rsidR="00B70C82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Panel 5 — The Crisis Is Not Equal Across America: Choropleth map of average home price by state. Dark states are expensive and largely inaccessible. Light </w:t>
      </w:r>
      <w:proofErr w:type="gramStart"/>
      <w:r>
        <w:t>states</w:t>
      </w:r>
      <w:proofErr w:type="gramEnd"/>
      <w:r>
        <w:t xml:space="preserve"> remain affordable and represent realistic entry points for first-time buyers.</w:t>
      </w:r>
    </w:p>
    <w:p w14:paraId="60D27D75" w14:textId="230958D1" w:rsidR="00B70C82" w:rsidRDefault="00000000">
      <w:pPr>
        <w:pStyle w:val="ListParagraph"/>
        <w:numPr>
          <w:ilvl w:val="0"/>
          <w:numId w:val="2"/>
        </w:numPr>
        <w:spacing w:before="60" w:after="60"/>
      </w:pPr>
      <w:r>
        <w:t>Top 5 Expensive States: Hawaii $856,614 —Massachusetts $705,952 — California $616,317 — Colorado $606,409 — Utah $534,009</w:t>
      </w:r>
    </w:p>
    <w:p w14:paraId="0623E9EB" w14:textId="77777777" w:rsidR="00B70C82" w:rsidRDefault="00000000">
      <w:pPr>
        <w:pStyle w:val="ListParagraph"/>
        <w:numPr>
          <w:ilvl w:val="0"/>
          <w:numId w:val="2"/>
        </w:numPr>
        <w:spacing w:before="60" w:after="60"/>
      </w:pPr>
      <w:r>
        <w:t>Top 5 Affordable States: West Virginia $164,884 — Mississippi $165,343 — Illinois $169,013 — Oklahoma $172,714 — Arkansas $174,216</w:t>
      </w:r>
    </w:p>
    <w:p w14:paraId="2AD18BE1" w14:textId="77777777" w:rsidR="00B70C82" w:rsidRDefault="00000000">
      <w:pPr>
        <w:pStyle w:val="ListParagraph"/>
        <w:numPr>
          <w:ilvl w:val="0"/>
          <w:numId w:val="2"/>
        </w:numPr>
        <w:spacing w:before="60" w:after="60"/>
      </w:pPr>
      <w:r>
        <w:t>Key insight: Everyone pays the same mortgage rate regardless of location. But the price gap between Hawaii and West Virginia is 5x. Geography is the most actionable variable available to a millennial buyer today.</w:t>
      </w:r>
    </w:p>
    <w:p w14:paraId="43EFF05C" w14:textId="77777777" w:rsidR="00B70C82" w:rsidRDefault="00B70C82">
      <w:pPr>
        <w:spacing w:before="120" w:after="120"/>
      </w:pPr>
    </w:p>
    <w:p w14:paraId="66E4C70C" w14:textId="77777777" w:rsidR="00B70C82" w:rsidRDefault="00000000">
      <w:pPr>
        <w:pStyle w:val="Heading1"/>
      </w:pPr>
      <w:r>
        <w:lastRenderedPageBreak/>
        <w:t>Data Sources</w:t>
      </w:r>
    </w:p>
    <w:p w14:paraId="71B4F817" w14:textId="77777777" w:rsidR="00B70C82" w:rsidRDefault="00B70C82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70C82" w14:paraId="4BA15BF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9E774D" w14:textId="77777777" w:rsidR="00B70C82" w:rsidRDefault="00000000">
            <w:r>
              <w:rPr>
                <w:b/>
                <w:bCs/>
                <w:color w:val="FFFFFF"/>
                <w:sz w:val="22"/>
                <w:szCs w:val="22"/>
              </w:rPr>
              <w:t>Source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53A302" w14:textId="77777777" w:rsidR="00B70C82" w:rsidRDefault="00000000">
            <w:r>
              <w:rPr>
                <w:b/>
                <w:bCs/>
                <w:color w:val="FFFFFF"/>
                <w:sz w:val="22"/>
                <w:szCs w:val="22"/>
              </w:rPr>
              <w:t>Dataset</w:t>
            </w:r>
          </w:p>
        </w:tc>
      </w:tr>
      <w:tr w:rsidR="00B70C82" w14:paraId="06ADC32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52F811" w14:textId="77777777" w:rsidR="00B70C82" w:rsidRDefault="00000000">
            <w:r>
              <w:rPr>
                <w:color w:val="000000"/>
                <w:sz w:val="22"/>
                <w:szCs w:val="22"/>
              </w:rPr>
              <w:t>Federal Reserve Bank of St. Louis (FRED)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036104" w14:textId="77777777" w:rsidR="00B70C82" w:rsidRDefault="00000000">
            <w:r>
              <w:rPr>
                <w:color w:val="000000"/>
                <w:sz w:val="22"/>
                <w:szCs w:val="22"/>
              </w:rPr>
              <w:t>HOUST1F — Single Family Housing Starts</w:t>
            </w:r>
          </w:p>
        </w:tc>
      </w:tr>
      <w:tr w:rsidR="00B70C82" w14:paraId="2882A20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255E67" w14:textId="77777777" w:rsidR="00B70C82" w:rsidRDefault="00000000">
            <w:r>
              <w:rPr>
                <w:color w:val="000000"/>
                <w:sz w:val="22"/>
                <w:szCs w:val="22"/>
              </w:rPr>
              <w:t>Federal Reserve Bank of St. Louis (FRED)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A37314" w14:textId="77777777" w:rsidR="00B70C82" w:rsidRDefault="00000000">
            <w:r>
              <w:rPr>
                <w:color w:val="000000"/>
                <w:sz w:val="22"/>
                <w:szCs w:val="22"/>
              </w:rPr>
              <w:t>ACTLISCOUUS — Active Listings</w:t>
            </w:r>
          </w:p>
        </w:tc>
      </w:tr>
      <w:tr w:rsidR="00B70C82" w14:paraId="3DD0996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8FBA1E" w14:textId="77777777" w:rsidR="00B70C82" w:rsidRDefault="00000000">
            <w:r>
              <w:rPr>
                <w:color w:val="000000"/>
                <w:sz w:val="22"/>
                <w:szCs w:val="22"/>
              </w:rPr>
              <w:t>Federal Reserve Bank of St. Louis (FRED)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E3F23B" w14:textId="77777777" w:rsidR="00B70C82" w:rsidRDefault="00000000">
            <w:r>
              <w:rPr>
                <w:color w:val="000000"/>
                <w:sz w:val="22"/>
                <w:szCs w:val="22"/>
              </w:rPr>
              <w:t>CSUSHPISA — Case-Shiller Home Price Index</w:t>
            </w:r>
          </w:p>
        </w:tc>
      </w:tr>
      <w:tr w:rsidR="00B70C82" w14:paraId="74CD1EE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99C157" w14:textId="77777777" w:rsidR="00B70C82" w:rsidRDefault="00000000">
            <w:r>
              <w:rPr>
                <w:color w:val="000000"/>
                <w:sz w:val="22"/>
                <w:szCs w:val="22"/>
              </w:rPr>
              <w:t>Federal Reserve Bank of St. Louis (FRED)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9ACD91" w14:textId="77777777" w:rsidR="00B70C82" w:rsidRDefault="00000000">
            <w:r>
              <w:rPr>
                <w:color w:val="000000"/>
                <w:sz w:val="22"/>
                <w:szCs w:val="22"/>
              </w:rPr>
              <w:t>MSPUS — Median Sales Price of Houses</w:t>
            </w:r>
          </w:p>
        </w:tc>
      </w:tr>
      <w:tr w:rsidR="00B70C82" w14:paraId="21B80E0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27349E" w14:textId="77777777" w:rsidR="00B70C82" w:rsidRDefault="00000000">
            <w:r>
              <w:rPr>
                <w:color w:val="000000"/>
                <w:sz w:val="22"/>
                <w:szCs w:val="22"/>
              </w:rPr>
              <w:t>Federal Reserve Bank of St. Louis (FRED)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1A944D" w14:textId="77777777" w:rsidR="00B70C82" w:rsidRDefault="00000000">
            <w:r>
              <w:rPr>
                <w:color w:val="000000"/>
                <w:sz w:val="22"/>
                <w:szCs w:val="22"/>
              </w:rPr>
              <w:t>MORTGAGE30US — 30-Year Fixed Mortgage Rate</w:t>
            </w:r>
          </w:p>
        </w:tc>
      </w:tr>
      <w:tr w:rsidR="00B70C82" w14:paraId="7FC4BCE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FF54B9" w14:textId="77777777" w:rsidR="00B70C82" w:rsidRDefault="00000000">
            <w:r>
              <w:rPr>
                <w:color w:val="000000"/>
                <w:sz w:val="22"/>
                <w:szCs w:val="22"/>
              </w:rPr>
              <w:t>Federal Reserve Bank of St. Louis (FRED)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6214CC" w14:textId="77777777" w:rsidR="00B70C82" w:rsidRDefault="00000000">
            <w:r>
              <w:rPr>
                <w:color w:val="000000"/>
                <w:sz w:val="22"/>
                <w:szCs w:val="22"/>
              </w:rPr>
              <w:t>MSACSR — Monthly Supply of Houses</w:t>
            </w:r>
          </w:p>
        </w:tc>
      </w:tr>
      <w:tr w:rsidR="00B70C82" w14:paraId="2258964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901894" w14:textId="77777777" w:rsidR="00B70C82" w:rsidRDefault="00000000">
            <w:r>
              <w:rPr>
                <w:color w:val="000000"/>
                <w:sz w:val="22"/>
                <w:szCs w:val="22"/>
              </w:rPr>
              <w:t>U.S. Census Bureau (CPS/HVS)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0BA8D3" w14:textId="77777777" w:rsidR="00B70C82" w:rsidRDefault="00000000">
            <w:r>
              <w:rPr>
                <w:color w:val="000000"/>
                <w:sz w:val="22"/>
                <w:szCs w:val="22"/>
              </w:rPr>
              <w:t>Historical Table 12 — Homeownership by Age of Householder 1982–Present</w:t>
            </w:r>
          </w:p>
        </w:tc>
      </w:tr>
      <w:tr w:rsidR="00B70C82" w14:paraId="35E3591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8AADD0" w14:textId="77777777" w:rsidR="00B70C82" w:rsidRDefault="00000000">
            <w:r>
              <w:rPr>
                <w:color w:val="000000"/>
                <w:sz w:val="22"/>
                <w:szCs w:val="22"/>
              </w:rPr>
              <w:t>Zillow Research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3AD3FC" w14:textId="77777777" w:rsidR="00B70C82" w:rsidRDefault="00000000">
            <w:r>
              <w:rPr>
                <w:color w:val="000000"/>
                <w:sz w:val="22"/>
                <w:szCs w:val="22"/>
              </w:rPr>
              <w:t>Metro Home Value Index (ZHVI) — Single Family Condo Tier 0.33–0.67</w:t>
            </w:r>
          </w:p>
        </w:tc>
      </w:tr>
    </w:tbl>
    <w:p w14:paraId="6DDCB7F1" w14:textId="77777777" w:rsidR="00B70C82" w:rsidRDefault="00B70C82">
      <w:pPr>
        <w:spacing w:before="120" w:after="120"/>
      </w:pPr>
    </w:p>
    <w:p w14:paraId="47897F6D" w14:textId="77777777" w:rsidR="00B70C82" w:rsidRDefault="00000000">
      <w:pPr>
        <w:pStyle w:val="Heading1"/>
      </w:pPr>
      <w:r>
        <w:t>Connection to Prior Project</w:t>
      </w:r>
    </w:p>
    <w:p w14:paraId="00EA6194" w14:textId="77777777" w:rsidR="00B70C82" w:rsidRDefault="00000000">
      <w:pPr>
        <w:spacing w:before="80" w:after="80"/>
        <w:jc w:val="both"/>
      </w:pPr>
      <w:r>
        <w:t xml:space="preserve">The prior project established the symptoms of financial pressure on younger generations. This project explains the structural cause behind Narrative 1 — the housing affordability </w:t>
      </w:r>
      <w:proofErr w:type="gramStart"/>
      <w:r>
        <w:t>decline</w:t>
      </w:r>
      <w:proofErr w:type="gramEnd"/>
      <w:r>
        <w:t xml:space="preserve"> relative to income. The two projects together form a complete picture:</w:t>
      </w:r>
    </w:p>
    <w:p w14:paraId="3AAE0A3C" w14:textId="77777777" w:rsidR="00B70C82" w:rsidRDefault="00B70C82">
      <w:pPr>
        <w:spacing w:before="120" w:after="120"/>
      </w:pPr>
    </w:p>
    <w:p w14:paraId="41CB84BA" w14:textId="77777777" w:rsidR="00B70C82" w:rsidRDefault="00000000">
      <w:pPr>
        <w:pStyle w:val="ListParagraph"/>
        <w:numPr>
          <w:ilvl w:val="0"/>
          <w:numId w:val="2"/>
        </w:numPr>
        <w:spacing w:before="60" w:after="60"/>
      </w:pPr>
      <w:r>
        <w:t>Prior project: Housing is consuming a growing share of income — the house-price-to-income ratio has risen consistently since 2007</w:t>
      </w:r>
    </w:p>
    <w:p w14:paraId="37AFAC36" w14:textId="77777777" w:rsidR="00B70C82" w:rsidRDefault="00000000">
      <w:pPr>
        <w:pStyle w:val="ListParagraph"/>
        <w:numPr>
          <w:ilvl w:val="0"/>
          <w:numId w:val="2"/>
        </w:numPr>
        <w:spacing w:before="60" w:after="60"/>
      </w:pPr>
      <w:r>
        <w:t>This project: The reason is the 2008 construction collapse which created a 15-year supply deficit that made prices structurally resistant to normal market corrections — including the most aggressive rate hiking cycle in 40 years</w:t>
      </w:r>
    </w:p>
    <w:p w14:paraId="696E68E2" w14:textId="77777777" w:rsidR="00B70C82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Combined conclusion: Millennials face a housing affordability crisis that is structural in origin, generational in impact, and </w:t>
      </w:r>
      <w:proofErr w:type="gramStart"/>
      <w:r>
        <w:t>geographic</w:t>
      </w:r>
      <w:proofErr w:type="gramEnd"/>
      <w:r>
        <w:t xml:space="preserve"> in its solution</w:t>
      </w:r>
    </w:p>
    <w:p w14:paraId="4BBA9B10" w14:textId="77777777" w:rsidR="00B70C82" w:rsidRDefault="00B70C82">
      <w:pPr>
        <w:spacing w:before="120" w:after="120"/>
      </w:pPr>
    </w:p>
    <w:p w14:paraId="50DBA368" w14:textId="77777777" w:rsidR="00B70C82" w:rsidRDefault="00B70C82">
      <w:pPr>
        <w:pBdr>
          <w:bottom w:val="single" w:sz="6" w:space="1" w:color="2E5090"/>
        </w:pBdr>
        <w:spacing w:before="120" w:after="120"/>
      </w:pPr>
    </w:p>
    <w:p w14:paraId="1518AA85" w14:textId="77777777" w:rsidR="00B70C82" w:rsidRDefault="00000000">
      <w:pPr>
        <w:spacing w:before="240"/>
        <w:jc w:val="center"/>
      </w:pPr>
      <w:r>
        <w:rPr>
          <w:i/>
          <w:iCs/>
          <w:color w:val="999999"/>
          <w:sz w:val="18"/>
          <w:szCs w:val="18"/>
        </w:rPr>
        <w:t>Data sources: Federal Reserve Bank of St. Louis (FRED) | U.S. Census Bureau | Zillow Research</w:t>
      </w:r>
    </w:p>
    <w:sectPr w:rsidR="00B70C8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13C8A"/>
    <w:multiLevelType w:val="hybridMultilevel"/>
    <w:tmpl w:val="54C8CC5C"/>
    <w:lvl w:ilvl="0" w:tplc="7B6A13DE">
      <w:start w:val="1"/>
      <w:numFmt w:val="bullet"/>
      <w:lvlText w:val="●"/>
      <w:lvlJc w:val="left"/>
      <w:pPr>
        <w:ind w:left="720" w:hanging="360"/>
      </w:pPr>
    </w:lvl>
    <w:lvl w:ilvl="1" w:tplc="9DA67B78">
      <w:start w:val="1"/>
      <w:numFmt w:val="bullet"/>
      <w:lvlText w:val="○"/>
      <w:lvlJc w:val="left"/>
      <w:pPr>
        <w:ind w:left="1440" w:hanging="360"/>
      </w:pPr>
    </w:lvl>
    <w:lvl w:ilvl="2" w:tplc="20D00E74">
      <w:start w:val="1"/>
      <w:numFmt w:val="bullet"/>
      <w:lvlText w:val="■"/>
      <w:lvlJc w:val="left"/>
      <w:pPr>
        <w:ind w:left="2160" w:hanging="360"/>
      </w:pPr>
    </w:lvl>
    <w:lvl w:ilvl="3" w:tplc="C7ACB7B2">
      <w:start w:val="1"/>
      <w:numFmt w:val="bullet"/>
      <w:lvlText w:val="●"/>
      <w:lvlJc w:val="left"/>
      <w:pPr>
        <w:ind w:left="2880" w:hanging="360"/>
      </w:pPr>
    </w:lvl>
    <w:lvl w:ilvl="4" w:tplc="A8A44656">
      <w:start w:val="1"/>
      <w:numFmt w:val="bullet"/>
      <w:lvlText w:val="○"/>
      <w:lvlJc w:val="left"/>
      <w:pPr>
        <w:ind w:left="3600" w:hanging="360"/>
      </w:pPr>
    </w:lvl>
    <w:lvl w:ilvl="5" w:tplc="C4AC80D6">
      <w:start w:val="1"/>
      <w:numFmt w:val="bullet"/>
      <w:lvlText w:val="■"/>
      <w:lvlJc w:val="left"/>
      <w:pPr>
        <w:ind w:left="4320" w:hanging="360"/>
      </w:pPr>
    </w:lvl>
    <w:lvl w:ilvl="6" w:tplc="274E1E36">
      <w:start w:val="1"/>
      <w:numFmt w:val="bullet"/>
      <w:lvlText w:val="●"/>
      <w:lvlJc w:val="left"/>
      <w:pPr>
        <w:ind w:left="5040" w:hanging="360"/>
      </w:pPr>
    </w:lvl>
    <w:lvl w:ilvl="7" w:tplc="64B63A58">
      <w:start w:val="1"/>
      <w:numFmt w:val="bullet"/>
      <w:lvlText w:val="●"/>
      <w:lvlJc w:val="left"/>
      <w:pPr>
        <w:ind w:left="5760" w:hanging="360"/>
      </w:pPr>
    </w:lvl>
    <w:lvl w:ilvl="8" w:tplc="9F1A4CF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C1A19F6"/>
    <w:multiLevelType w:val="hybridMultilevel"/>
    <w:tmpl w:val="4C3E4448"/>
    <w:lvl w:ilvl="0" w:tplc="DCA2C344">
      <w:start w:val="1"/>
      <w:numFmt w:val="bullet"/>
      <w:lvlText w:val="•"/>
      <w:lvlJc w:val="left"/>
      <w:pPr>
        <w:ind w:left="720" w:hanging="360"/>
      </w:pPr>
    </w:lvl>
    <w:lvl w:ilvl="1" w:tplc="A83C8F58">
      <w:numFmt w:val="decimal"/>
      <w:lvlText w:val=""/>
      <w:lvlJc w:val="left"/>
    </w:lvl>
    <w:lvl w:ilvl="2" w:tplc="A5E6D0CA">
      <w:numFmt w:val="decimal"/>
      <w:lvlText w:val=""/>
      <w:lvlJc w:val="left"/>
    </w:lvl>
    <w:lvl w:ilvl="3" w:tplc="6EFE659A">
      <w:numFmt w:val="decimal"/>
      <w:lvlText w:val=""/>
      <w:lvlJc w:val="left"/>
    </w:lvl>
    <w:lvl w:ilvl="4" w:tplc="2F72A9D4">
      <w:numFmt w:val="decimal"/>
      <w:lvlText w:val=""/>
      <w:lvlJc w:val="left"/>
    </w:lvl>
    <w:lvl w:ilvl="5" w:tplc="CCE61238">
      <w:numFmt w:val="decimal"/>
      <w:lvlText w:val=""/>
      <w:lvlJc w:val="left"/>
    </w:lvl>
    <w:lvl w:ilvl="6" w:tplc="5BD09304">
      <w:numFmt w:val="decimal"/>
      <w:lvlText w:val=""/>
      <w:lvlJc w:val="left"/>
    </w:lvl>
    <w:lvl w:ilvl="7" w:tplc="804C49DA">
      <w:numFmt w:val="decimal"/>
      <w:lvlText w:val=""/>
      <w:lvlJc w:val="left"/>
    </w:lvl>
    <w:lvl w:ilvl="8" w:tplc="A8461554">
      <w:numFmt w:val="decimal"/>
      <w:lvlText w:val=""/>
      <w:lvlJc w:val="left"/>
    </w:lvl>
  </w:abstractNum>
  <w:num w:numId="1" w16cid:durableId="112284852">
    <w:abstractNumId w:val="0"/>
    <w:lvlOverride w:ilvl="0">
      <w:startOverride w:val="1"/>
    </w:lvlOverride>
  </w:num>
  <w:num w:numId="2" w16cid:durableId="193936851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0C82"/>
    <w:rsid w:val="008B3982"/>
    <w:rsid w:val="00B70C82"/>
    <w:rsid w:val="00F84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CEEA4"/>
  <w15:docId w15:val="{73307C9B-433C-4895-8668-C5694416D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509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1018</Words>
  <Characters>5803</Characters>
  <Application>Microsoft Office Word</Application>
  <DocSecurity>0</DocSecurity>
  <Lines>48</Lines>
  <Paragraphs>13</Paragraphs>
  <ScaleCrop>false</ScaleCrop>
  <Company/>
  <LinksUpToDate>false</LinksUpToDate>
  <CharactersWithSpaces>6808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Vo, Latherine</cp:lastModifiedBy>
  <cp:revision>2</cp:revision>
  <dcterms:created xsi:type="dcterms:W3CDTF">2026-05-06T02:48:00Z</dcterms:created>
  <dcterms:modified xsi:type="dcterms:W3CDTF">2026-05-06T02:52:00Z</dcterms:modified>
</cp:coreProperties>
</file>