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80" w:after="120"/>
        <w:jc w:val="center"/>
      </w:pPr>
      <w:r>
        <w:rPr>
          <w:b/>
          <w:color w:val="1F3864"/>
          <w:sz w:val="48"/>
        </w:rPr>
        <w:t>U.S. Housing Affordability Crisis</w:t>
      </w:r>
    </w:p>
    <w:p>
      <w:pPr>
        <w:jc w:val="center"/>
      </w:pPr>
      <w:r>
        <w:rPr>
          <w:color w:val="2E5090"/>
          <w:sz w:val="28"/>
        </w:rPr>
        <w:t>A Data Visualization Project</w:t>
      </w:r>
    </w:p>
    <w:p>
      <w:pPr>
        <w:jc w:val="center"/>
      </w:pPr>
      <w:r>
        <w:rPr>
          <w:color w:val="666666"/>
          <w:sz w:val="22"/>
        </w:rPr>
        <w:t>Financial Pressures Facing Younger Generations in the United States</w:t>
      </w:r>
    </w:p>
    <w:p>
      <w:pPr>
        <w:spacing w:after="120"/>
        <w:jc w:val="center"/>
      </w:pPr>
      <w:r>
        <w:rPr>
          <w:color w:val="666666"/>
          <w:sz w:val="22"/>
        </w:rPr>
        <w:t>Linh Vo</w:t>
      </w:r>
    </w:p>
    <w:p>
      <w:pPr>
        <w:spacing w:after="480"/>
        <w:jc w:val="center"/>
      </w:pPr>
      <w:r>
        <w:rPr>
          <w:i/>
          <w:color w:val="999999"/>
          <w:sz w:val="20"/>
        </w:rPr>
        <w:t>Revised October 2026: corrected figures and extended analysis</w:t>
      </w:r>
    </w:p>
    <w:p>
      <w:pPr>
        <w:pStyle w:val="Heading1"/>
        <w:keepNext/>
      </w:pPr>
      <w:r>
        <w:t>Position Statement</w:t>
      </w:r>
    </w:p>
    <w:p>
      <w:pPr>
        <w:pBdr>
          <w:left w:val="thick" w:sz="12" w:space="10" w:color="2E5090"/>
        </w:pBdr>
        <w:spacing w:before="120" w:after="180"/>
        <w:ind w:left="360"/>
        <w:jc w:val="both"/>
      </w:pPr>
      <w:r>
        <w:rPr>
          <w:i/>
          <w:color w:val="1F3864"/>
        </w:rPr>
        <w:t>The U.S. housing affordability crisis for first-time young buyers has two layers. The structural layer: homebuilding collapsed after 2008 and is still about 35% below its pre-crisis level, while real home prices rose 67% against only 11% growth in real household income. The shock layer: when mortgage rates more than doubled in 2022–2023, the monthly payment on a median home reached 37.2% of median income, the highest since at least 2000, and 80% of that jump came from higher rates. However, typical home values still differ 4.7x across states, so affordable states remain realistic entry points for first-time buyers today.</w:t>
      </w:r>
    </w:p>
    <w:p>
      <w:pPr>
        <w:pStyle w:val="Heading1"/>
        <w:keepNext/>
      </w:pPr>
      <w:r>
        <w:t>Context</w:t>
      </w:r>
    </w:p>
    <w:p>
      <w:pPr>
        <w:spacing w:after="120"/>
      </w:pPr>
      <w:r>
        <w:rPr/>
        <w:t>This project is the second part of a broader analysis on the financial pressures facing younger generations in the United States. The first project established three narratives: housing is consuming a growing share of income relative to earnings, Gen Z carries higher student debt yet maintains comparable saving rates, and consumption dominates income allocation, leaving limited room for saving.</w:t>
      </w:r>
    </w:p>
    <w:p>
      <w:pPr>
        <w:spacing w:after="120"/>
      </w:pPr>
      <w:r>
        <w:rPr/>
        <w:t>This project investigates why housing affordability declined (Narrative 1 of the first project). It separates the slow, structural effect of the 2008 construction collapse from the sudden 2022 interest-rate shock, measures who was locked out, and identifies where geographic opportunity still exists for first-time buyers.</w:t>
      </w:r>
    </w:p>
    <w:p>
      <w:pPr>
        <w:pStyle w:val="Heading1"/>
        <w:keepNext/>
      </w:pPr>
      <w:r>
        <w:t>What Changed in This Revision</w:t>
      </w:r>
    </w:p>
    <w:p>
      <w:pPr>
        <w:spacing w:after="120"/>
      </w:pPr>
      <w:r>
        <w:rPr/>
        <w:t>Before extending the analysis, every number in the May 2026 version was re-checked against the raw data. Three corrections were made, and the evaluation refined the original thesis.</w:t>
      </w:r>
    </w:p>
    <w:tbl>
      <w:tblPr>
        <w:tblW w:type="dxa" w:w="9360"/>
        <w:tblLook w:firstColumn="1" w:firstRow="1" w:lastColumn="0" w:lastRow="0" w:noHBand="0" w:noVBand="1" w:val="04A0"/>
      </w:tblPr>
      <w:tblGrid>
        <w:gridCol w:w="3400"/>
        <w:gridCol w:w="2700"/>
        <w:gridCol w:w="3260"/>
      </w:tblGrid>
      <w:tr>
        <w:trPr>
          <w:cantSplit/>
          <w:tblHeader/>
        </w:trPr>
        <w:tc>
          <w:tcPr>
            <w:tcW w:type="dxa" w:w="3400"/>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pPr>
              <w:keepNext/>
            </w:pPr>
            <w:r>
              <w:rPr>
                <w:b/>
                <w:color w:val="FFFFFF"/>
                <w:sz w:val="21"/>
              </w:rPr>
              <w:t>Issue</w:t>
            </w:r>
          </w:p>
        </w:tc>
        <w:tc>
          <w:tcPr>
            <w:tcW w:type="dxa" w:w="2700"/>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pPr>
              <w:keepNext/>
            </w:pPr>
            <w:r>
              <w:rPr>
                <w:b/>
                <w:color w:val="FFFFFF"/>
                <w:sz w:val="21"/>
              </w:rPr>
              <w:t>May 2026 version</w:t>
            </w:r>
          </w:p>
        </w:tc>
        <w:tc>
          <w:tcPr>
            <w:tcW w:type="dxa" w:w="3260"/>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pPr>
              <w:keepNext/>
            </w:pPr>
            <w:r>
              <w:rPr>
                <w:b/>
                <w:color w:val="FFFFFF"/>
                <w:sz w:val="21"/>
              </w:rPr>
              <w:t>Corrected</w:t>
            </w:r>
          </w:p>
        </w:tc>
      </w:tr>
      <w:tr>
        <w:trPr>
          <w:cantSplit/>
        </w:trPr>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color w:val="000000"/>
                <w:sz w:val="21"/>
              </w:rPr>
              <w:t>Aggregation bias</w:t>
            </w:r>
            <w:r>
              <w:rPr>
                <w:color w:val="000000"/>
                <w:sz w:val="21"/>
              </w:rPr>
              <w:t xml:space="preserve"> in state prices: state values were an unweighted average of metro areas, so small, cheap metros counted as much as large cities</w:t>
            </w:r>
          </w:p>
        </w:tc>
        <w:tc>
          <w:tcPr>
            <w:tcW w:type="dxa" w:w="27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Illinois ranked 3rd most affordable ($169k); 5x price gap</w:t>
            </w:r>
          </w:p>
        </w:tc>
        <w:tc>
          <w:tcPr>
            <w:tcW w:type="dxa" w:w="32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 xml:space="preserve">Zillow state-level index (every home weighted equally): Illinois ranks 17th ($293k); </w:t>
            </w:r>
            <w:r>
              <w:rPr>
                <w:b/>
                <w:color w:val="000000"/>
                <w:sz w:val="21"/>
              </w:rPr>
              <w:t>4.7x</w:t>
            </w:r>
            <w:r>
              <w:rPr>
                <w:color w:val="000000"/>
                <w:sz w:val="21"/>
              </w:rPr>
              <w:t xml:space="preserve"> gap</w:t>
            </w:r>
          </w:p>
        </w:tc>
      </w:tr>
      <w:tr>
        <w:trPr>
          <w:cantSplit/>
        </w:trPr>
        <w:tc>
          <w:tcPr>
            <w:tcW w:type="dxa" w:w="34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b/>
                <w:color w:val="000000"/>
                <w:sz w:val="21"/>
              </w:rPr>
              <w:t>Mixed units</w:t>
            </w:r>
            <w:r>
              <w:rPr>
                <w:color w:val="000000"/>
                <w:sz w:val="21"/>
              </w:rPr>
              <w:t xml:space="preserve"> for housing starts: single months in the notebook, annual averages in the report</w:t>
            </w:r>
          </w:p>
        </w:tc>
        <w:tc>
          <w:tcPr>
            <w:tcW w:type="dxa" w:w="27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Peak 1,718 (2005), trough 442 (2009), −74%; baseline 1,400</w:t>
            </w:r>
          </w:p>
        </w:tc>
        <w:tc>
          <w:tcPr>
            <w:tcW w:type="dxa" w:w="32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 xml:space="preserve">Annual averages everywhere: 1,718k (2005) → 434k (2011), </w:t>
            </w:r>
            <w:r>
              <w:rPr>
                <w:b/>
                <w:color w:val="000000"/>
                <w:sz w:val="21"/>
              </w:rPr>
              <w:t>−74.7%</w:t>
            </w:r>
            <w:r>
              <w:rPr>
                <w:color w:val="000000"/>
                <w:sz w:val="21"/>
              </w:rPr>
              <w:t xml:space="preserve">; baseline </w:t>
            </w:r>
            <w:r>
              <w:rPr>
                <w:b/>
                <w:color w:val="000000"/>
                <w:sz w:val="21"/>
              </w:rPr>
              <w:t>1,453k</w:t>
            </w:r>
            <w:r>
              <w:rPr>
                <w:color w:val="000000"/>
                <w:sz w:val="21"/>
              </w:rPr>
              <w:t xml:space="preserve"> (2000–2006 average)</w:t>
            </w:r>
          </w:p>
        </w:tc>
      </w:tr>
      <w:tr>
        <w:trPr>
          <w:cantSplit/>
        </w:trPr>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color w:val="000000"/>
                <w:sz w:val="21"/>
              </w:rPr>
              <w:t>Percent vs percentage points</w:t>
            </w:r>
            <w:r>
              <w:rPr>
                <w:color w:val="000000"/>
                <w:sz w:val="21"/>
              </w:rPr>
              <w:t xml:space="preserve"> in homeownership, and data only to 2021</w:t>
            </w:r>
          </w:p>
        </w:tc>
        <w:tc>
          <w:tcPr>
            <w:tcW w:type="dxa" w:w="27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"8.6% decline" (2004 → 2016)</w:t>
            </w:r>
          </w:p>
        </w:tc>
        <w:tc>
          <w:tcPr>
            <w:tcW w:type="dxa" w:w="32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color w:val="000000"/>
                <w:sz w:val="21"/>
              </w:rPr>
              <w:t>−6.1 percentage points</w:t>
            </w:r>
            <w:r>
              <w:rPr>
                <w:color w:val="000000"/>
                <w:sz w:val="21"/>
              </w:rPr>
              <w:t xml:space="preserve"> (43.1% in 2004 → 37.0% in 2025)</w:t>
            </w:r>
          </w:p>
        </w:tc>
      </w:tr>
      <w:tr>
        <w:trPr>
          <w:cantSplit/>
        </w:trPr>
        <w:tc>
          <w:tcPr>
            <w:tcW w:type="dxa" w:w="34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b/>
                <w:color w:val="000000"/>
                <w:sz w:val="21"/>
              </w:rPr>
              <w:t>Overstated claims</w:t>
            </w:r>
            <w:r>
              <w:rPr>
                <w:color w:val="000000"/>
                <w:sz w:val="21"/>
              </w:rPr>
              <w:t xml:space="preserve"> in the position statement</w:t>
            </w:r>
          </w:p>
        </w:tc>
        <w:tc>
          <w:tcPr>
            <w:tcW w:type="dxa" w:w="27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"Record-high borrowing costs"; "permanently starved"</w:t>
            </w:r>
          </w:p>
        </w:tc>
        <w:tc>
          <w:tcPr>
            <w:tcW w:type="dxa" w:w="32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 xml:space="preserve">Rates (6.8%) were not a record (8% in 2000, up to 18% in 1981), but the </w:t>
            </w:r>
            <w:r>
              <w:rPr>
                <w:b/>
                <w:color w:val="000000"/>
                <w:sz w:val="21"/>
              </w:rPr>
              <w:t>payment burden</w:t>
            </w:r>
            <w:r>
              <w:rPr>
                <w:color w:val="000000"/>
                <w:sz w:val="21"/>
              </w:rPr>
              <w:t xml:space="preserve"> was the highest since 2000</w:t>
            </w:r>
          </w:p>
        </w:tc>
      </w:tr>
    </w:tbl>
    <w:p/>
    <w:p>
      <w:pPr>
        <w:pStyle w:val="Heading1"/>
        <w:keepNext/>
      </w:pPr>
      <w:r>
        <w:t>Key Validated Data Points</w:t>
      </w:r>
    </w:p>
    <w:tbl>
      <w:tblPr>
        <w:tblW w:type="dxa" w:w="9360"/>
        <w:tblLook w:firstColumn="1" w:firstRow="1" w:lastColumn="0" w:lastRow="0" w:noHBand="0" w:noVBand="1" w:val="04A0"/>
      </w:tblPr>
      <w:tblGrid>
        <w:gridCol w:w="3600"/>
        <w:gridCol w:w="5760"/>
      </w:tblGrid>
      <w:tr>
        <w:trPr>
          <w:cantSplit/>
          <w:tblHeader/>
        </w:trPr>
        <w:tc>
          <w:tcPr>
            <w:tcW w:type="dxa" w:w="3600"/>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pPr>
              <w:keepNext/>
            </w:pPr>
            <w:r>
              <w:rPr>
                <w:b/>
                <w:color w:val="FFFFFF"/>
                <w:sz w:val="21"/>
              </w:rPr>
              <w:t>Indicator</w:t>
            </w:r>
          </w:p>
        </w:tc>
        <w:tc>
          <w:tcPr>
            <w:tcW w:type="dxa" w:w="5760"/>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pPr>
              <w:keepNext/>
            </w:pPr>
            <w:r>
              <w:rPr>
                <w:b/>
                <w:color w:val="FFFFFF"/>
                <w:sz w:val="21"/>
              </w:rPr>
              <w:t>Finding</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Housing starts peak (2005)</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1,718 thousand units (annual average)</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Housing starts trough (2011)</w:t>
            </w:r>
          </w:p>
        </w:tc>
        <w:tc>
          <w:tcPr>
            <w:tcW w:type="dxa" w:w="57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 xml:space="preserve">434 thousand units, down </w:t>
            </w:r>
            <w:r>
              <w:rPr>
                <w:b/>
                <w:color w:val="000000"/>
                <w:sz w:val="21"/>
              </w:rPr>
              <w:t>74.7%</w:t>
            </w:r>
            <w:r>
              <w:rPr>
                <w:color w:val="000000"/>
                <w:sz w:val="21"/>
              </w:rPr>
              <w:t xml:space="preserve"> from the peak</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Recovery gap (2025)</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 xml:space="preserve">942k units, still </w:t>
            </w:r>
            <w:r>
              <w:rPr>
                <w:b/>
                <w:color w:val="000000"/>
                <w:sz w:val="21"/>
              </w:rPr>
              <w:t>35.2% below</w:t>
            </w:r>
            <w:r>
              <w:rPr>
                <w:color w:val="000000"/>
                <w:sz w:val="21"/>
              </w:rPr>
              <w:t xml:space="preserve"> the 2000–2006 average of 1,453k</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Active listings</w:t>
            </w:r>
          </w:p>
        </w:tc>
        <w:tc>
          <w:tcPr>
            <w:tcW w:type="dxa" w:w="57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Fell 76% from the July 2016 peak to a low in Feb 2022; Oct 2025 still 24.8% below the peak</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Median home price (Oct 2025)</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$405,300, up 100% vs the 2000–2006 average (nominal)</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Home prices, nominal vs real (2000 → 2025)</w:t>
            </w:r>
          </w:p>
        </w:tc>
        <w:tc>
          <w:tcPr>
            <w:tcW w:type="dxa" w:w="57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 xml:space="preserve">Nominal </w:t>
            </w:r>
            <w:r>
              <w:rPr>
                <w:b/>
                <w:color w:val="000000"/>
                <w:sz w:val="21"/>
              </w:rPr>
              <w:t>+213%</w:t>
            </w:r>
            <w:r>
              <w:rPr>
                <w:color w:val="000000"/>
                <w:sz w:val="21"/>
              </w:rPr>
              <w:t xml:space="preserve">; after inflation (CPI +87%) real prices </w:t>
            </w:r>
            <w:r>
              <w:rPr>
                <w:b/>
                <w:color w:val="000000"/>
                <w:sz w:val="21"/>
              </w:rPr>
              <w:t>+67%</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Real median household income (2000 → 2025)</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 xml:space="preserve">Only </w:t>
            </w:r>
            <w:r>
              <w:rPr>
                <w:b/>
                <w:color w:val="000000"/>
                <w:sz w:val="21"/>
              </w:rPr>
              <w:t>+11%</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Mortgage rate</w:t>
            </w:r>
          </w:p>
        </w:tc>
        <w:tc>
          <w:tcPr>
            <w:tcW w:type="dxa" w:w="57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2.96% average in 2021 (low) → 6.80% in 2023 (peak)</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Monthly payment on median home*</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 xml:space="preserve">$1,445 (2021) → </w:t>
            </w:r>
            <w:r>
              <w:rPr>
                <w:b/>
                <w:color w:val="000000"/>
                <w:sz w:val="21"/>
              </w:rPr>
              <w:t>$2,501</w:t>
            </w:r>
            <w:r>
              <w:rPr>
                <w:color w:val="000000"/>
                <w:sz w:val="21"/>
              </w:rPr>
              <w:t xml:space="preserve"> (2023), +73%</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Payment as share of median income*</w:t>
            </w:r>
          </w:p>
        </w:tc>
        <w:tc>
          <w:tcPr>
            <w:tcW w:type="dxa" w:w="57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b/>
                <w:color w:val="000000"/>
                <w:sz w:val="21"/>
              </w:rPr>
              <w:t>37.2% in 2023</w:t>
            </w:r>
            <w:r>
              <w:rPr>
                <w:color w:val="000000"/>
                <w:sz w:val="21"/>
              </w:rPr>
              <w:t>, the highest since at least 2000 (HUD cost-burden line: 30%)</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What drove the 2021 → 2023 jump</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color w:val="000000"/>
                <w:sz w:val="21"/>
              </w:rPr>
              <w:t>80% higher rates</w:t>
            </w:r>
            <w:r>
              <w:rPr>
                <w:color w:val="000000"/>
                <w:sz w:val="21"/>
              </w:rPr>
              <w:t>, 20% higher prices (Shapley decomposition)</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Under-35 homeownership</w:t>
            </w:r>
          </w:p>
        </w:tc>
        <w:tc>
          <w:tcPr>
            <w:tcW w:type="dxa" w:w="57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 xml:space="preserve">43.1% (2004 peak) → 34.5% (2016 low) → 37.0% (2025): </w:t>
            </w:r>
            <w:r>
              <w:rPr>
                <w:b/>
                <w:color w:val="000000"/>
                <w:sz w:val="21"/>
              </w:rPr>
              <w:t>−6.1 pp</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Largest drop by age group</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35–44: −8.4 pp (69.2% → 60.8%)</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"Missing" homeowners under 35</w:t>
            </w:r>
          </w:p>
        </w:tc>
        <w:tc>
          <w:tcPr>
            <w:tcW w:type="dxa" w:w="57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b/>
                <w:color w:val="000000"/>
                <w:sz w:val="21"/>
              </w:rPr>
              <w:t>~1.6 million</w:t>
            </w:r>
            <w:r>
              <w:rPr>
                <w:color w:val="000000"/>
                <w:sz w:val="21"/>
              </w:rPr>
              <w:t xml:space="preserve"> at the 2004 ownership rate (upper-end estimate)</w:t>
            </w:r>
          </w:p>
        </w:tc>
      </w:tr>
      <w:tr>
        <w:trPr>
          <w:cantSplit/>
        </w:trP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Most expensive / most affordable state</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 xml:space="preserve">Hawaii $832,021 / West Virginia $177,254: </w:t>
            </w:r>
            <w:r>
              <w:rPr>
                <w:b/>
                <w:color w:val="000000"/>
                <w:sz w:val="21"/>
              </w:rPr>
              <w:t>4.7x</w:t>
            </w:r>
            <w:r>
              <w:rPr>
                <w:color w:val="000000"/>
                <w:sz w:val="21"/>
              </w:rPr>
              <w:t xml:space="preserve"> (4.3x excluding Hawaii)</w:t>
            </w:r>
          </w:p>
        </w:tc>
      </w:tr>
    </w:tbl>
    <w:p/>
    <w:p>
      <w:pPr>
        <w:spacing w:after="200"/>
      </w:pPr>
      <w:r>
        <w:rPr/>
        <w:t>* 10% down payment, 30-year fixed loan, principal and interest only (taxes and insurance excluded).</w:t>
      </w:r>
    </w:p>
    <w:p>
      <w:pPr>
        <w:pStyle w:val="Heading1"/>
        <w:keepNext/>
      </w:pPr>
      <w:r>
        <w:t>Analytical Methods</w:t>
      </w:r>
    </w:p>
    <w:p>
      <w:pPr>
        <w:pStyle w:val="ListParagraph"/>
        <w:numPr>
          <w:ilvl w:val="0"/>
          <w:numId w:val="2"/>
        </w:numPr>
        <w:spacing w:before="60" w:after="60"/>
      </w:pPr>
      <w:r>
        <w:rPr>
          <w:b/>
        </w:rPr>
        <w:t>ETL pipeline (Python, pandas):</w:t>
      </w:r>
      <w:r>
        <w:rPr/>
        <w:t xml:space="preserve"> 11 datasets from FRED, the U.S. Census Bureau and Zillow; weekly mortgage rates averaged to monthly, quarterly prices forward-filled, all series merged on date.</w:t>
      </w:r>
    </w:p>
    <w:p>
      <w:pPr>
        <w:pStyle w:val="ListParagraph"/>
        <w:numPr>
          <w:ilvl w:val="0"/>
          <w:numId w:val="2"/>
        </w:numPr>
        <w:spacing w:before="60" w:after="60"/>
      </w:pPr>
      <w:r>
        <w:rPr>
          <w:b/>
        </w:rPr>
        <w:t>Annual averaging:</w:t>
      </w:r>
      <w:r>
        <w:rPr/>
        <w:t xml:space="preserve"> housing starts and prices are compared as yearly averages to avoid single-month noise.</w:t>
      </w:r>
    </w:p>
    <w:p>
      <w:pPr>
        <w:pStyle w:val="ListParagraph"/>
        <w:numPr>
          <w:ilvl w:val="0"/>
          <w:numId w:val="2"/>
        </w:numPr>
        <w:spacing w:before="60" w:after="60"/>
      </w:pPr>
      <w:r>
        <w:rPr>
          <w:b/>
        </w:rPr>
        <w:t>Mortgage amortization model:</w:t>
      </w:r>
      <w:r>
        <w:rPr/>
        <w:t xml:space="preserve"> standard fixed-rate payment formula applied to the median price and the average rate of each year, then divided by median household income.</w:t>
      </w:r>
    </w:p>
    <w:p>
      <w:pPr>
        <w:pStyle w:val="ListParagraph"/>
        <w:numPr>
          <w:ilvl w:val="0"/>
          <w:numId w:val="2"/>
        </w:numPr>
        <w:spacing w:before="60" w:after="60"/>
      </w:pPr>
      <w:r>
        <w:rPr>
          <w:b/>
        </w:rPr>
        <w:t>Shapley decomposition:</w:t>
      </w:r>
      <w:r>
        <w:rPr/>
        <w:t xml:space="preserve"> the 2021 → 2023 payment change is computed changing price first, then rate first, and averaged, so the price and rate effects add up exactly to the total.</w:t>
      </w:r>
    </w:p>
    <w:p>
      <w:pPr>
        <w:pStyle w:val="ListParagraph"/>
        <w:numPr>
          <w:ilvl w:val="0"/>
          <w:numId w:val="2"/>
        </w:numPr>
        <w:spacing w:before="60" w:after="60"/>
      </w:pPr>
      <w:r>
        <w:rPr>
          <w:b/>
        </w:rPr>
        <w:t>Counterfactual analysis:</w:t>
      </w:r>
      <w:r>
        <w:rPr/>
        <w:t xml:space="preserve"> today's under-35 households × the 2004 ownership rate, minus today's owners.</w:t>
      </w:r>
    </w:p>
    <w:p>
      <w:pPr>
        <w:pStyle w:val="ListParagraph"/>
        <w:numPr>
          <w:ilvl w:val="0"/>
          <w:numId w:val="2"/>
        </w:numPr>
        <w:spacing w:before="60" w:after="60"/>
      </w:pPr>
      <w:r>
        <w:rPr>
          <w:b/>
        </w:rPr>
        <w:t>Inflation adjustment:</w:t>
      </w:r>
      <w:r>
        <w:rPr/>
        <w:t xml:space="preserve"> prices and income deflated with CPI (CPIAUCSL), index 2000 = 100.</w:t>
      </w:r>
    </w:p>
    <w:p>
      <w:pPr>
        <w:pStyle w:val="ListParagraph"/>
        <w:numPr>
          <w:ilvl w:val="0"/>
          <w:numId w:val="2"/>
        </w:numPr>
        <w:spacing w:before="60" w:after="60"/>
      </w:pPr>
      <w:r>
        <w:rPr>
          <w:b/>
        </w:rPr>
        <w:t>State-level index:</w:t>
      </w:r>
      <w:r>
        <w:rPr/>
        <w:t xml:space="preserve"> Zillow state ZHVI replaces the unweighted average of metros to remove aggregation bias.</w:t>
      </w:r>
    </w:p>
    <w:p/>
    <w:p>
      <w:pPr>
        <w:pStyle w:val="Heading1"/>
        <w:keepNext/>
      </w:pPr>
      <w:r>
        <w:t>Dashboard Structure</w:t>
      </w:r>
    </w:p>
    <w:p>
      <w:pPr>
        <w:spacing w:after="120"/>
      </w:pPr>
      <w:r>
        <w:rPr/>
        <w:t xml:space="preserve">The Power BI dashboard is a </w:t>
      </w:r>
      <w:r>
        <w:rPr>
          <w:b/>
        </w:rPr>
        <w:t>single page</w:t>
      </w:r>
      <w:r>
        <w:rPr/>
        <w:t>. It reads left to right as the argument of this project: cause → shock → why → who → where. Every chart title states its finding, so the whole story can be read in under a minute. Inputs come from the powerbi_data folder produced by the notebook, and the design follows the same style as my Bank Loan dashboard (dark navy, blue data, orange for the key series).</w:t>
      </w:r>
    </w:p>
    <w:p>
      <w:pPr>
        <w:pStyle w:val="Heading2"/>
        <w:keepNext/>
      </w:pPr>
      <w:r>
        <w:t>KPI row</w:t>
      </w:r>
    </w:p>
    <w:p>
      <w:pPr>
        <w:pStyle w:val="ListParagraph"/>
        <w:numPr>
          <w:ilvl w:val="0"/>
          <w:numId w:val="2"/>
        </w:numPr>
        <w:spacing w:before="60" w:after="60"/>
      </w:pPr>
      <w:r>
        <w:rPr>
          <w:b/>
        </w:rPr>
        <w:t>−74.7%</w:t>
      </w:r>
      <w:r>
        <w:rPr/>
        <w:t xml:space="preserve"> homebuilding collapse (2005 → 2011) · </w:t>
      </w:r>
      <w:r>
        <w:rPr>
          <w:b/>
        </w:rPr>
        <w:t>37.2%</w:t>
      </w:r>
      <w:r>
        <w:rPr/>
        <w:t xml:space="preserve"> of income to the mortgage payment (2023, headline card) · </w:t>
      </w:r>
      <w:r>
        <w:rPr>
          <w:b/>
        </w:rPr>
        <w:t>80%</w:t>
      </w:r>
      <w:r>
        <w:rPr/>
        <w:t xml:space="preserve"> of the 2021–23 jump from rates · </w:t>
      </w:r>
      <w:r>
        <w:rPr>
          <w:b/>
        </w:rPr>
        <w:t>1.6M</w:t>
      </w:r>
      <w:r>
        <w:rPr/>
        <w:t xml:space="preserve"> missing homeowners under 35 · </w:t>
      </w:r>
      <w:r>
        <w:rPr>
          <w:b/>
        </w:rPr>
        <w:t>4.7x</w:t>
      </w:r>
      <w:r>
        <w:rPr/>
        <w:t xml:space="preserve"> state price gap.</w:t>
      </w:r>
    </w:p>
    <w:p>
      <w:pPr>
        <w:pStyle w:val="ListParagraph"/>
        <w:numPr>
          <w:ilvl w:val="0"/>
          <w:numId w:val="2"/>
        </w:numPr>
        <w:spacing w:before="60" w:after="60"/>
      </w:pPr>
      <w:r>
        <w:rPr/>
        <w:t>Header subtitle: real home prices +67% vs real income +11% (2000–2025).</w:t>
      </w:r>
    </w:p>
    <w:p>
      <w:pPr>
        <w:pStyle w:val="Heading2"/>
        <w:keepNext/>
      </w:pPr>
      <w:r>
        <w:t>Charts</w:t>
      </w:r>
    </w:p>
    <w:p>
      <w:pPr>
        <w:pStyle w:val="ListParagraph"/>
        <w:numPr>
          <w:ilvl w:val="0"/>
          <w:numId w:val="2"/>
        </w:numPr>
        <w:spacing w:before="60" w:after="60"/>
      </w:pPr>
      <w:r>
        <w:rPr>
          <w:b/>
        </w:rPr>
        <w:t>1. Homebuilding fell 75% and never recovered</w:t>
      </w:r>
      <w:r>
        <w:rPr/>
        <w:t xml:space="preserve"> (Line chart): Single-family housing starts, annual average (thousands), 2000–2025.</w:t>
      </w:r>
    </w:p>
    <w:p>
      <w:pPr>
        <w:pStyle w:val="ListParagraph"/>
        <w:numPr>
          <w:ilvl w:val="0"/>
          <w:numId w:val="2"/>
        </w:numPr>
        <w:spacing w:before="60" w:after="60"/>
      </w:pPr>
      <w:r>
        <w:rPr>
          <w:b/>
        </w:rPr>
        <w:t>2. Mortgage payments hit 37% of income in 2023, the highest since 2000</w:t>
      </w:r>
      <w:r>
        <w:rPr/>
        <w:t xml:space="preserve"> (Line chart): Payment on the median home (10% down, 30-year fixed) as % of median household income.</w:t>
      </w:r>
    </w:p>
    <w:p>
      <w:pPr>
        <w:pStyle w:val="ListParagraph"/>
        <w:numPr>
          <w:ilvl w:val="0"/>
          <w:numId w:val="2"/>
        </w:numPr>
        <w:spacing w:before="60" w:after="60"/>
      </w:pPr>
      <w:r>
        <w:rPr>
          <w:b/>
        </w:rPr>
        <w:t>3. 80% of the payment jump came from higher rates</w:t>
      </w:r>
      <w:r>
        <w:rPr/>
        <w:t xml:space="preserve"> (Waterfall chart): 2021 payment $1,445 + price $210 + rate $847 = 2023 payment $2,501 (Total).</w:t>
      </w:r>
    </w:p>
    <w:p>
      <w:pPr>
        <w:pStyle w:val="ListParagraph"/>
        <w:numPr>
          <w:ilvl w:val="0"/>
          <w:numId w:val="2"/>
        </w:numPr>
        <w:spacing w:before="60" w:after="60"/>
      </w:pPr>
      <w:r>
        <w:rPr>
          <w:b/>
        </w:rPr>
        <w:t>4. Under-35 ownership is still 6 points below its 2004 peak</w:t>
      </w:r>
      <w:r>
        <w:rPr/>
        <w:t xml:space="preserve"> (Line chart): Homeownership rate by age of householder (%), 2000–2025.</w:t>
      </w:r>
    </w:p>
    <w:p>
      <w:pPr>
        <w:pStyle w:val="ListParagraph"/>
        <w:numPr>
          <w:ilvl w:val="0"/>
          <w:numId w:val="2"/>
        </w:numPr>
        <w:spacing w:before="60" w:after="60"/>
      </w:pPr>
      <w:r>
        <w:rPr>
          <w:b/>
        </w:rPr>
        <w:t>5. Homes cost 4.7x more in Hawaii than in West Virginia</w:t>
      </w:r>
      <w:r>
        <w:rPr/>
        <w:t xml:space="preserve"> (Filled map): Typical home value by state, Zillow ZHVI, March 2026.</w:t>
      </w:r>
    </w:p>
    <w:p>
      <w:pPr>
        <w:pStyle w:val="Heading2"/>
        <w:keepNext/>
      </w:pPr>
      <w:r>
        <w:t>Why one page</w:t>
      </w:r>
    </w:p>
    <w:p>
      <w:pPr>
        <w:spacing w:after="120"/>
      </w:pPr>
      <w:r>
        <w:rPr/>
        <w:t>The earlier version used three pages. In the single page, the mortgage-rate bar chart is replaced by the waterfall (which shows the rate effect directly), the nominal-vs-real price chart becomes the header subtitle, the top-5 state tables move into the map tooltip and the 4.7x card, and the age-change bar becomes the 1.6M card. Nothing in the argument is lost, and each remaining chart carries one idea.</w:t>
      </w:r>
    </w:p>
    <w:p/>
    <w:p>
      <w:pPr>
        <w:pStyle w:val="Heading1"/>
        <w:keepNext/>
      </w:pPr>
      <w:r>
        <w:t>Data Sources</w:t>
      </w:r>
    </w:p>
    <w:tbl>
      <w:tblPr>
        <w:tblW w:type="dxa" w:w="9360"/>
        <w:tblLook w:firstColumn="1" w:firstRow="1" w:lastColumn="0" w:lastRow="0" w:noHBand="0" w:noVBand="1" w:val="04A0"/>
      </w:tblPr>
      <w:tblGrid>
        <w:gridCol w:w="4000"/>
        <w:gridCol w:w="5360"/>
      </w:tblGrid>
      <w:tr>
        <w:trPr>
          <w:cantSplit/>
          <w:tblHeader/>
        </w:trPr>
        <w:tc>
          <w:tcPr>
            <w:tcW w:type="dxa" w:w="4000"/>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pPr>
              <w:keepNext/>
            </w:pPr>
            <w:r>
              <w:rPr>
                <w:b/>
                <w:color w:val="FFFFFF"/>
                <w:sz w:val="21"/>
              </w:rPr>
              <w:t>Source</w:t>
            </w:r>
          </w:p>
        </w:tc>
        <w:tc>
          <w:tcPr>
            <w:tcW w:type="dxa" w:w="5360"/>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pPr>
              <w:keepNext/>
            </w:pPr>
            <w:r>
              <w:rPr>
                <w:b/>
                <w:color w:val="FFFFFF"/>
                <w:sz w:val="21"/>
              </w:rPr>
              <w:t>Dataset</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Federal Reserve Bank of St. Louis (FRED)</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HOUST1F – Single-Family Housing Starts</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Federal Reserve Bank of St. Louis (FRED)</w:t>
            </w:r>
          </w:p>
        </w:tc>
        <w:tc>
          <w:tcPr>
            <w:tcW w:type="dxa" w:w="53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ACTLISCOUUS – Active Listings</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Federal Reserve Bank of St. Louis (FRED)</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CSUSHPISA – Case-Shiller Home Price Index</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Federal Reserve Bank of St. Louis (FRED)</w:t>
            </w:r>
          </w:p>
        </w:tc>
        <w:tc>
          <w:tcPr>
            <w:tcW w:type="dxa" w:w="53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MSPUS – Median Sales Price of Houses Sold</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Federal Reserve Bank of St. Louis (FRED)</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MORTGAGE30US – 30-Year Fixed Mortgage Rate</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Federal Reserve Bank of St. Louis (FRED)</w:t>
            </w:r>
          </w:p>
        </w:tc>
        <w:tc>
          <w:tcPr>
            <w:tcW w:type="dxa" w:w="53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MSACSR – Monthly Supply of New Houses</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Federal Reserve Bank of St. Louis (FRED)</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CPIAUCSL – Consumer Price Index (inflation adjustment)</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Federal Reserve Bank of St. Louis (FRED)</w:t>
            </w:r>
          </w:p>
        </w:tc>
        <w:tc>
          <w:tcPr>
            <w:tcW w:type="dxa" w:w="53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MEHOINUSA646N – Median Household Income (nominal)</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U.S. Census Bureau (CPS/HVS)</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Historical Table 12 – Households by Age of Householder, 1982–2025</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Zillow Research</w:t>
            </w:r>
          </w:p>
        </w:tc>
        <w:tc>
          <w:tcPr>
            <w:tcW w:type="dxa" w:w="5360"/>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tcPr>
          <w:p>
            <w:r>
              <w:rPr>
                <w:color w:val="000000"/>
                <w:sz w:val="21"/>
              </w:rPr>
              <w:t>ZHVI, single-family + condo, mid tier (0.33–0.67) – Metro level</w:t>
            </w:r>
          </w:p>
        </w:tc>
      </w:tr>
      <w:tr>
        <w:trPr>
          <w:cantSplit/>
        </w:trPr>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Zillow Research</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color w:val="000000"/>
                <w:sz w:val="21"/>
              </w:rPr>
              <w:t>ZHVI, single-family + condo, mid tier (0.33–0.67) – State level</w:t>
            </w:r>
          </w:p>
        </w:tc>
      </w:tr>
    </w:tbl>
    <w:p/>
    <w:p>
      <w:pPr>
        <w:pStyle w:val="Heading1"/>
        <w:keepNext/>
      </w:pPr>
      <w:r>
        <w:t>Limitations</w:t>
      </w:r>
    </w:p>
    <w:p>
      <w:pPr>
        <w:pStyle w:val="ListParagraph"/>
        <w:numPr>
          <w:ilvl w:val="0"/>
          <w:numId w:val="2"/>
        </w:numPr>
        <w:spacing w:before="60" w:after="60"/>
      </w:pPr>
      <w:r>
        <w:rPr/>
        <w:t>Mortgage payments include principal and interest only, so the true housing burden is higher than shown.</w:t>
      </w:r>
    </w:p>
    <w:p>
      <w:pPr>
        <w:pStyle w:val="ListParagraph"/>
        <w:numPr>
          <w:ilvl w:val="0"/>
          <w:numId w:val="2"/>
        </w:numPr>
        <w:spacing w:before="60" w:after="60"/>
      </w:pPr>
      <w:r>
        <w:rPr/>
        <w:t>The missing-homeowner estimate uses 2004 as the baseline, a credit-bubble peak, so it is an upper-end estimate.</w:t>
      </w:r>
    </w:p>
    <w:p>
      <w:pPr>
        <w:pStyle w:val="ListParagraph"/>
        <w:numPr>
          <w:ilvl w:val="0"/>
          <w:numId w:val="2"/>
        </w:numPr>
        <w:spacing w:before="60" w:after="60"/>
      </w:pPr>
      <w:r>
        <w:rPr/>
        <w:t>The analysis is correlational: it shows timing and size of changes, not proof that one caused another.</w:t>
      </w:r>
    </w:p>
    <w:p>
      <w:pPr>
        <w:pStyle w:val="ListParagraph"/>
        <w:numPr>
          <w:ilvl w:val="0"/>
          <w:numId w:val="2"/>
        </w:numPr>
        <w:spacing w:before="60" w:after="60"/>
      </w:pPr>
      <w:r>
        <w:rPr/>
        <w:t>The 4.7x state gap compares the two extreme states; it is sensitive to Hawaii (4.3x without it).</w:t>
      </w:r>
    </w:p>
    <w:p/>
    <w:p>
      <w:pPr>
        <w:pStyle w:val="Heading1"/>
        <w:keepNext/>
      </w:pPr>
      <w:r>
        <w:t>Connection to Prior Project</w:t>
      </w:r>
    </w:p>
    <w:p>
      <w:pPr>
        <w:spacing w:after="120"/>
      </w:pPr>
      <w:r>
        <w:rPr/>
        <w:t>The prior project established the symptoms of financial pressure on younger generations. This project explains the causes behind Narrative 1, the housing affordability decline relative to income.</w:t>
      </w:r>
    </w:p>
    <w:p>
      <w:pPr>
        <w:pStyle w:val="ListParagraph"/>
        <w:numPr>
          <w:ilvl w:val="0"/>
          <w:numId w:val="2"/>
        </w:numPr>
        <w:spacing w:before="60" w:after="60"/>
      </w:pPr>
      <w:r>
        <w:rPr>
          <w:b/>
        </w:rPr>
        <w:t>Prior project:</w:t>
      </w:r>
      <w:r>
        <w:rPr/>
        <w:t xml:space="preserve"> housing is consuming a growing share of income; the house-price-to-income ratio has risen since 2007.</w:t>
      </w:r>
    </w:p>
    <w:p>
      <w:pPr>
        <w:pStyle w:val="ListParagraph"/>
        <w:numPr>
          <w:ilvl w:val="0"/>
          <w:numId w:val="2"/>
        </w:numPr>
        <w:spacing w:before="60" w:after="60"/>
      </w:pPr>
      <w:r>
        <w:rPr>
          <w:b/>
        </w:rPr>
        <w:t>This project:</w:t>
      </w:r>
      <w:r>
        <w:rPr/>
        <w:t xml:space="preserve"> underbuilding since 2008 pushed real home prices up 67% while real income rose 11%, and the 2022 rate shock pushed mortgage payments to 37.2% of income, with 80% of the jump caused by rates.</w:t>
      </w:r>
    </w:p>
    <w:p>
      <w:pPr>
        <w:pStyle w:val="ListParagraph"/>
        <w:numPr>
          <w:ilvl w:val="0"/>
          <w:numId w:val="2"/>
        </w:numPr>
        <w:spacing w:before="60" w:after="60"/>
      </w:pPr>
      <w:r>
        <w:rPr>
          <w:b/>
        </w:rPr>
        <w:t>Link to student debt:</w:t>
      </w:r>
      <w:r>
        <w:rPr/>
        <w:t xml:space="preserve"> in 2012–2021 payments stayed below the 30% line (22–28% of income), yet under-35 ownership hit its lowest point in 2016. This suggests the barrier then was the down payment and credit access rather than the monthly cost, which connects to the higher student debt carried by younger generations.</w:t>
      </w:r>
    </w:p>
    <w:p>
      <w:pPr>
        <w:pStyle w:val="ListParagraph"/>
        <w:numPr>
          <w:ilvl w:val="0"/>
          <w:numId w:val="2"/>
        </w:numPr>
        <w:spacing w:before="60" w:after="60"/>
      </w:pPr>
      <w:r>
        <w:rPr>
          <w:b/>
        </w:rPr>
        <w:t>Combined conclusion:</w:t>
      </w:r>
      <w:r>
        <w:rPr/>
        <w:t xml:space="preserve"> the crisis for young buyers is structural in origin, amplified by interest rates, generational in impact, and geographic in its solution.</w:t>
      </w:r>
    </w:p>
    <w:p/>
    <w:p>
      <w:pPr>
        <w:jc w:val="center"/>
      </w:pPr>
      <w:r>
        <w:rPr>
          <w:color w:val="999999"/>
          <w:sz w:val="18"/>
        </w:rPr>
        <w:t>Data sources: Federal Reserve Bank of St. Louis (FRED) | U.S. Census Bureau | Zillow Research</w:t>
      </w:r>
    </w:p>
    <w:sectPr w:rsidR="00B70C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13C8A"/>
    <w:multiLevelType w:val="hybridMultilevel"/>
    <w:tmpl w:val="54C8CC5C"/>
    <w:lvl w:ilvl="0" w:tplc="7B6A13DE">
      <w:start w:val="1"/>
      <w:numFmt w:val="bullet"/>
      <w:lvlText w:val="●"/>
      <w:lvlJc w:val="left"/>
      <w:pPr>
        <w:ind w:left="720" w:hanging="360"/>
      </w:pPr>
    </w:lvl>
    <w:lvl w:ilvl="1" w:tplc="9DA67B78">
      <w:start w:val="1"/>
      <w:numFmt w:val="bullet"/>
      <w:lvlText w:val="○"/>
      <w:lvlJc w:val="left"/>
      <w:pPr>
        <w:ind w:left="1440" w:hanging="360"/>
      </w:pPr>
    </w:lvl>
    <w:lvl w:ilvl="2" w:tplc="20D00E74">
      <w:start w:val="1"/>
      <w:numFmt w:val="bullet"/>
      <w:lvlText w:val="■"/>
      <w:lvlJc w:val="left"/>
      <w:pPr>
        <w:ind w:left="2160" w:hanging="360"/>
      </w:pPr>
    </w:lvl>
    <w:lvl w:ilvl="3" w:tplc="C7ACB7B2">
      <w:start w:val="1"/>
      <w:numFmt w:val="bullet"/>
      <w:lvlText w:val="●"/>
      <w:lvlJc w:val="left"/>
      <w:pPr>
        <w:ind w:left="2880" w:hanging="360"/>
      </w:pPr>
    </w:lvl>
    <w:lvl w:ilvl="4" w:tplc="A8A44656">
      <w:start w:val="1"/>
      <w:numFmt w:val="bullet"/>
      <w:lvlText w:val="○"/>
      <w:lvlJc w:val="left"/>
      <w:pPr>
        <w:ind w:left="3600" w:hanging="360"/>
      </w:pPr>
    </w:lvl>
    <w:lvl w:ilvl="5" w:tplc="C4AC80D6">
      <w:start w:val="1"/>
      <w:numFmt w:val="bullet"/>
      <w:lvlText w:val="■"/>
      <w:lvlJc w:val="left"/>
      <w:pPr>
        <w:ind w:left="4320" w:hanging="360"/>
      </w:pPr>
    </w:lvl>
    <w:lvl w:ilvl="6" w:tplc="274E1E36">
      <w:start w:val="1"/>
      <w:numFmt w:val="bullet"/>
      <w:lvlText w:val="●"/>
      <w:lvlJc w:val="left"/>
      <w:pPr>
        <w:ind w:left="5040" w:hanging="360"/>
      </w:pPr>
    </w:lvl>
    <w:lvl w:ilvl="7" w:tplc="64B63A58">
      <w:start w:val="1"/>
      <w:numFmt w:val="bullet"/>
      <w:lvlText w:val="●"/>
      <w:lvlJc w:val="left"/>
      <w:pPr>
        <w:ind w:left="5760" w:hanging="360"/>
      </w:pPr>
    </w:lvl>
    <w:lvl w:ilvl="8" w:tplc="9F1A4CF8">
      <w:start w:val="1"/>
      <w:numFmt w:val="bullet"/>
      <w:lvlText w:val="●"/>
      <w:lvlJc w:val="left"/>
      <w:pPr>
        <w:ind w:left="6480" w:hanging="360"/>
      </w:pPr>
    </w:lvl>
  </w:abstractNum>
  <w:abstractNum w:abstractNumId="1" w15:restartNumberingAfterBreak="0">
    <w:nsid w:val="5C1A19F6"/>
    <w:multiLevelType w:val="hybridMultilevel"/>
    <w:tmpl w:val="4C3E4448"/>
    <w:lvl w:ilvl="0" w:tplc="DCA2C344">
      <w:start w:val="1"/>
      <w:numFmt w:val="bullet"/>
      <w:lvlText w:val="•"/>
      <w:lvlJc w:val="left"/>
      <w:pPr>
        <w:ind w:left="720" w:hanging="360"/>
      </w:pPr>
    </w:lvl>
    <w:lvl w:ilvl="1" w:tplc="A83C8F58">
      <w:numFmt w:val="decimal"/>
      <w:lvlText w:val=""/>
      <w:lvlJc w:val="left"/>
    </w:lvl>
    <w:lvl w:ilvl="2" w:tplc="A5E6D0CA">
      <w:numFmt w:val="decimal"/>
      <w:lvlText w:val=""/>
      <w:lvlJc w:val="left"/>
    </w:lvl>
    <w:lvl w:ilvl="3" w:tplc="6EFE659A">
      <w:numFmt w:val="decimal"/>
      <w:lvlText w:val=""/>
      <w:lvlJc w:val="left"/>
    </w:lvl>
    <w:lvl w:ilvl="4" w:tplc="2F72A9D4">
      <w:numFmt w:val="decimal"/>
      <w:lvlText w:val=""/>
      <w:lvlJc w:val="left"/>
    </w:lvl>
    <w:lvl w:ilvl="5" w:tplc="CCE61238">
      <w:numFmt w:val="decimal"/>
      <w:lvlText w:val=""/>
      <w:lvlJc w:val="left"/>
    </w:lvl>
    <w:lvl w:ilvl="6" w:tplc="5BD09304">
      <w:numFmt w:val="decimal"/>
      <w:lvlText w:val=""/>
      <w:lvlJc w:val="left"/>
    </w:lvl>
    <w:lvl w:ilvl="7" w:tplc="804C49DA">
      <w:numFmt w:val="decimal"/>
      <w:lvlText w:val=""/>
      <w:lvlJc w:val="left"/>
    </w:lvl>
    <w:lvl w:ilvl="8" w:tplc="A8461554">
      <w:numFmt w:val="decimal"/>
      <w:lvlText w:val=""/>
      <w:lvlJc w:val="left"/>
    </w:lvl>
  </w:abstractNum>
  <w:num w:numId="1" w16cid:durableId="112284852">
    <w:abstractNumId w:val="0"/>
    <w:lvlOverride w:ilvl="0">
      <w:startOverride w:val="1"/>
    </w:lvlOverride>
  </w:num>
  <w:num w:numId="2" w16cid:durableId="1939368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C82"/>
    <w:rsid w:val="008B3982"/>
    <w:rsid w:val="00B70C82"/>
    <w:rsid w:val="00F84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EEA4"/>
  <w15:docId w15:val="{73307C9B-433C-4895-8668-C5694416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5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1018</Words>
  <Characters>5803</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Vo, Latherine</cp:lastModifiedBy>
  <cp:revision>2</cp:revision>
  <dcterms:created xsi:type="dcterms:W3CDTF">2026-05-06T02:48:00Z</dcterms:created>
  <dcterms:modified xsi:type="dcterms:W3CDTF">2026-05-06T02:52:00Z</dcterms:modified>
</cp:coreProperties>
</file>