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Detecting Aeration Phase Transitions in SBR Wastewater Treatment</w:t>
      </w:r>
    </w:p>
    <w:p>
      <w:pPr>
        <w:spacing w:after="240"/>
      </w:pPr>
      <w:r>
        <w:t xml:space="preserve">A sequence-model (transformer) approach to real-time phase-transition detection from pH/ORP/DO sensor curves</w:t>
      </w:r>
    </w:p>
    <w:p>
      <w:pPr>
        <w:spacing w:after="160"/>
      </w:pPr>
      <w:r>
        <w:rPr>
          <w:b/>
          <w:bCs/>
        </w:rPr>
        <w:t xml:space="preserve">Name: </w:t>
      </w:r>
      <w:r>
        <w:t xml:space="preserve">____________________</w:t>
      </w:r>
    </w:p>
    <w:p>
      <w:pPr>
        <w:spacing w:after="160"/>
      </w:pPr>
      <w:r>
        <w:rPr>
          <w:b/>
          <w:bCs/>
        </w:rPr>
        <w:t xml:space="preserve">Date: </w:t>
      </w:r>
      <w:r>
        <w:t xml:space="preserve">September 20, 2026</w:t>
      </w:r>
    </w:p>
    <w:p>
      <w:pPr>
        <w:spacing w:after="160"/>
      </w:pPr>
      <w:r>
        <w:rPr>
          <w:b/>
          <w:bCs/>
        </w:rPr>
        <w:t xml:space="preserve">Status: </w:t>
      </w:r>
      <w:r>
        <w:t xml:space="preserve">Independent research project proposal (not tied to a course deliverable)</w:t>
      </w:r>
    </w:p>
    <w:p>
      <w:pPr>
        <w:pStyle w:val="Heading1"/>
        <w:spacing w:after="160" w:before="320"/>
      </w:pPr>
      <w:r>
        <w:t xml:space="preserve">1. Motivation</w:t>
      </w:r>
    </w:p>
    <w:p>
      <w:pPr>
        <w:spacing w:after="160"/>
      </w:pPr>
      <w:r>
        <w:t xml:space="preserve">Sequencing Batch Reactor (SBR) wastewater treatment plants currently aerate on a fixed timer schedule. Because influent load and biological activity vary day to day, fixed schedules routinely over-aerate, and aeration electricity has been reported to account for more than half of a plant's total operating cost. A substantial body of literature instead detects the actual end of nitrification and denitrification from characteristic inflections (“bending points”) in real-time pH, ORP, and dissolved oxygen (DO) sensor curves, and switches phases accordingly. This project builds a small transformer-based sequence model that learns to localize those bending points directly from sensor time series, as a first step toward event-driven rather than timer-driven aeration control.</w:t>
      </w:r>
    </w:p>
    <w:p>
      <w:pPr>
        <w:pStyle w:val="Heading1"/>
        <w:spacing w:after="160" w:before="320"/>
      </w:pPr>
      <w:r>
        <w:t xml:space="preserve">2. Related Work</w:t>
      </w:r>
    </w:p>
    <w:p>
      <w:pPr>
        <w:spacing w:after="160"/>
      </w:pPr>
      <w:r>
        <w:t xml:space="preserve">Four broad approaches appear in the literature surveyed for this project:</w:t>
      </w:r>
    </w:p>
    <w:p>
      <w:pPr>
        <w:pStyle w:val="ListParagraph"/>
        <w:numPr>
          <w:ilvl w:val="0"/>
          <w:numId w:val="2"/>
        </w:numPr>
        <w:spacing w:after="80"/>
      </w:pPr>
      <w:r>
        <w:t xml:space="preserve">Fixed-schedule optimization via simulation — calibrated process models (e.g., BioWin) find slack in existing timer schedules. Reported to cut aeration energy, cost, and CO₂ by up to 58.7% without recalibrating control logic in real time.</w:t>
      </w:r>
    </w:p>
    <w:p>
      <w:pPr>
        <w:pStyle w:val="ListParagraph"/>
        <w:numPr>
          <w:ilvl w:val="0"/>
          <w:numId w:val="2"/>
        </w:numPr>
        <w:spacing w:after="80"/>
      </w:pPr>
      <w:r>
        <w:t xml:space="preserve">Real-time phase control from sensor bending points — detects end-of-nitrification from the “ammonia valley” (pH) and “DO elbow” (DO), and end-of-denitrification from the “nitrate knee” (ORP) and “nitrate apex” (ORP). Full- and pilot-scale studies report total nitrogen removal up to 91% and 14–32% aeration energy savings. First derivatives (d(pH)/dt, d(ORP)/dt) are reported as more reliable indicators than raw sensor values.</w:t>
      </w:r>
    </w:p>
    <w:p>
      <w:pPr>
        <w:pStyle w:val="ListParagraph"/>
        <w:numPr>
          <w:ilvl w:val="0"/>
          <w:numId w:val="2"/>
        </w:numPr>
        <w:spacing w:after="80"/>
      </w:pPr>
      <w:r>
        <w:t xml:space="preserve">Model-based DO trajectory optimization — a supervisory controller computes an optimal DO setpoint trajectory for lower-level control loops; a combined pre-anoxic/post-anoxic/intermittent-aeration configuration was found to give the best nitrogen-removal trade-off (87% TN removal) in one full-scale study.</w:t>
      </w:r>
    </w:p>
    <w:p>
      <w:pPr>
        <w:pStyle w:val="ListParagraph"/>
        <w:numPr>
          <w:ilvl w:val="0"/>
          <w:numId w:val="2"/>
        </w:numPr>
        <w:spacing w:after="80"/>
      </w:pPr>
      <w:r>
        <w:t xml:space="preserve">ML/AI-based aeration control — e.g., an inverse SVM mapping influent NH₃-N, ORP, conductivity, and aeration rate to effluent NH₃-N, reporting 20.3% energy reduction at 95% discharge compliance.</w:t>
      </w:r>
    </w:p>
    <w:p>
      <w:pPr>
        <w:spacing w:after="160"/>
      </w:pPr>
      <w:r>
        <w:t xml:space="preserve">This project extends approach 2 (real-time bending-point detection) by replacing hand-tuned derivative-threshold detectors with a learned sequence model, while keeping approach 4's data-driven spirit and this field's general emphasis on aeration electricity as the primary cost lever.</w:t>
      </w:r>
    </w:p>
    <w:p>
      <w:pPr>
        <w:pStyle w:val="Heading1"/>
        <w:spacing w:after="160" w:before="320"/>
      </w:pPr>
      <w:r>
        <w:t xml:space="preserve">3. Proposed Approach</w:t>
      </w:r>
    </w:p>
    <w:p>
      <w:pPr>
        <w:spacing w:after="160"/>
      </w:pPr>
      <w:r>
        <w:t xml:space="preserve">Framing: a supervised sequence-to-landmark localization task, not a text/NLP task. Given a multivariate time series (pH, ORP, DO, and optionally d(pH)/dt and d(ORP)/dt) sampled through one SBR cycle, a small transformer encoder predicts the timing of four phase-transition landmarks:</w:t>
      </w:r>
    </w:p>
    <w:p>
      <w:pPr>
        <w:pStyle w:val="ListParagraph"/>
        <w:numPr>
          <w:ilvl w:val="0"/>
          <w:numId w:val="2"/>
        </w:numPr>
        <w:spacing w:after="80"/>
      </w:pPr>
      <w:r>
        <w:t xml:space="preserve">Ammonia valley (pH) — end of nitrification</w:t>
      </w:r>
    </w:p>
    <w:p>
      <w:pPr>
        <w:pStyle w:val="ListParagraph"/>
        <w:numPr>
          <w:ilvl w:val="0"/>
          <w:numId w:val="2"/>
        </w:numPr>
        <w:spacing w:after="80"/>
      </w:pPr>
      <w:r>
        <w:t xml:space="preserve">DO elbow (DO) — end of nitrification</w:t>
      </w:r>
    </w:p>
    <w:p>
      <w:pPr>
        <w:pStyle w:val="ListParagraph"/>
        <w:numPr>
          <w:ilvl w:val="0"/>
          <w:numId w:val="2"/>
        </w:numPr>
        <w:spacing w:after="80"/>
      </w:pPr>
      <w:r>
        <w:t xml:space="preserve">Nitrate knee (ORP) — end of denitrification</w:t>
      </w:r>
    </w:p>
    <w:p>
      <w:pPr>
        <w:pStyle w:val="ListParagraph"/>
        <w:numPr>
          <w:ilvl w:val="0"/>
          <w:numId w:val="2"/>
        </w:numPr>
        <w:spacing w:after="80"/>
      </w:pPr>
      <w:r>
        <w:t xml:space="preserve">Nitrate apex (ORP) — end of denitrification</w:t>
      </w:r>
    </w:p>
    <w:p>
      <w:pPr>
        <w:spacing w:after="160"/>
      </w:pPr>
      <w:r>
        <w:t xml:space="preserve">This is a numeric time-series problem, not a character-level or natural-language one; the transformer architecture is used purely as a sequence encoder well suited to attending over the whole cycle at once.</w:t>
      </w:r>
    </w:p>
    <w:p>
      <w:pPr>
        <w:pStyle w:val="Heading1"/>
        <w:spacing w:after="160" w:before="320"/>
      </w:pPr>
      <w:r>
        <w:t xml:space="preserve">4. Data Strategy</w:t>
      </w:r>
    </w:p>
    <w:p>
      <w:pPr>
        <w:spacing w:after="160"/>
      </w:pPr>
      <w:r>
        <w:t xml:space="preserve">No existing dataset provides ground-truth landmark timing for SBR cycles, and a pre-existing water-quality dataset available to this project (continuous 5-minute environmental monitoring at three sites) turned out, on inspection, to have zero real dissolved-oxygen coverage and no ORP channel at all — and in any case reflects continuous monitoring, not discrete batch-reactor cycles, so it carries no phase-transition ground truth to learn from. The plan is therefore synthetic-first:</w:t>
      </w:r>
    </w:p>
    <w:p>
      <w:pPr>
        <w:pStyle w:val="ListParagraph"/>
        <w:numPr>
          <w:ilvl w:val="0"/>
          <w:numId w:val="2"/>
        </w:numPr>
        <w:spacing w:after="80"/>
      </w:pPr>
      <w:r>
        <w:t xml:space="preserve">A parametrized SBR-cycle simulator generates pH/ORP/DO curves per cycle from shape primitives (a logistic-blended piecewise-linear trend for the DO elbow and nitrate knee; Gaussian dip/bump for the ammonia valley and nitrate apex), with randomized cycle length, landmark timing (subject to a fixed chronological ordering and minimum spacing), baseline drift, landmark shape parameters, and per-channel measurement noise.</w:t>
      </w:r>
    </w:p>
    <w:p>
      <w:pPr>
        <w:pStyle w:val="ListParagraph"/>
        <w:numPr>
          <w:ilvl w:val="0"/>
          <w:numId w:val="2"/>
        </w:numPr>
        <w:spacing w:after="80"/>
      </w:pPr>
      <w:r>
        <w:t xml:space="preserve">Because ground truth is injected by construction, exact landmark positions are known for every synthetic cycle — giving exact supervision at effectively unlimited scale.</w:t>
      </w:r>
    </w:p>
    <w:p>
      <w:pPr>
        <w:pStyle w:val="ListParagraph"/>
        <w:numPr>
          <w:ilvl w:val="0"/>
          <w:numId w:val="2"/>
        </w:numPr>
        <w:spacing w:after="80"/>
      </w:pPr>
      <w:r>
        <w:t xml:space="preserve">Disjoint random-seed blocks define train/validation/test splits, plus a held-out “hard” split with wider noise, timing jitter, and a chance of a missing landmark, to test robustness beyond the training distribution.</w:t>
      </w:r>
    </w:p>
    <w:p>
      <w:pPr>
        <w:pStyle w:val="ListParagraph"/>
        <w:numPr>
          <w:ilvl w:val="0"/>
          <w:numId w:val="2"/>
        </w:numPr>
        <w:spacing w:after="80"/>
      </w:pPr>
      <w:r>
        <w:t xml:space="preserve">Real pH data (partial coverage, no ground-truth labels) is reserved for a future qualitative validation check only — not for training. Real ORP/DO would require a live plant historian API that is currently non-functional (returns no data for any query); acquiring real ORP/DO is out of scope until that is resolved by its operator.</w:t>
      </w:r>
    </w:p>
    <w:p>
      <w:pPr>
        <w:pStyle w:val="Heading1"/>
        <w:spacing w:after="160" w:before="320"/>
      </w:pPr>
      <w:r>
        <w:t xml:space="preserve">5. Model and Baselines</w:t>
      </w:r>
    </w:p>
    <w:p>
      <w:pPr>
        <w:spacing w:after="160"/>
      </w:pPr>
      <w:r>
        <w:t xml:space="preserve">Architecture: linear input projection → sinusoidal positional encoding (absolute timing within the cycle matters here, unlike in typical NLP use) → a small Transformer encoder → a per-timestep “heatmap” head that predicts, for each of the four landmarks, a soft probability distribution over time; the landmark's timing is decoded via soft-argmax, and its peak height doubles as a presence/confidence score.</w:t>
      </w:r>
    </w:p>
    <w:p>
      <w:pPr>
        <w:spacing w:after="160"/>
      </w:pPr>
      <w:r>
        <w:t xml:space="preserve">Two deliberately simple baselines are computed first and must be beaten before the model is considered useful:</w:t>
      </w:r>
    </w:p>
    <w:p>
      <w:pPr>
        <w:pStyle w:val="ListParagraph"/>
        <w:numPr>
          <w:ilvl w:val="0"/>
          <w:numId w:val="2"/>
        </w:numPr>
        <w:spacing w:after="80"/>
      </w:pPr>
      <w:r>
        <w:t xml:space="preserve">A nominal-position baseline that always predicts each landmark at its fixed average timing, ignoring the input.</w:t>
      </w:r>
    </w:p>
    <w:p>
      <w:pPr>
        <w:pStyle w:val="ListParagraph"/>
        <w:numPr>
          <w:ilvl w:val="0"/>
          <w:numId w:val="2"/>
        </w:numPr>
        <w:spacing w:after="80"/>
      </w:pPr>
      <w:r>
        <w:t xml:space="preserve">A derivative-threshold-crossing baseline, closer to how this is done manually in the literature today.</w:t>
      </w:r>
    </w:p>
    <w:p>
      <w:pPr>
        <w:spacing w:after="160"/>
      </w:pPr>
      <w:r>
        <w:t xml:space="preserve">An alternative, simpler “pointer” head (global pooling → four independent position/presence regressors) is also trained as an ablation, so that the heatmap head's added complexity has to earn its keep, not just beat the two baselines.</w:t>
      </w:r>
    </w:p>
    <w:p>
      <w:pPr>
        <w:pStyle w:val="Heading1"/>
        <w:spacing w:after="160" w:before="320"/>
      </w:pPr>
      <w:r>
        <w:t xml:space="preserve">6. Evaluation Plan</w:t>
      </w:r>
    </w:p>
    <w:p>
      <w:pPr>
        <w:pStyle w:val="ListParagraph"/>
        <w:numPr>
          <w:ilvl w:val="0"/>
          <w:numId w:val="2"/>
        </w:numPr>
        <w:spacing w:after="80"/>
      </w:pPr>
      <w:r>
        <w:t xml:space="preserve">Mean absolute timing error (minutes) per landmark, on cycles where it is both present and detected.</w:t>
      </w:r>
    </w:p>
    <w:p>
      <w:pPr>
        <w:pStyle w:val="ListParagraph"/>
        <w:numPr>
          <w:ilvl w:val="0"/>
          <w:numId w:val="2"/>
        </w:numPr>
        <w:spacing w:after="80"/>
      </w:pPr>
      <w:r>
        <w:t xml:space="preserve">Tolerance-window accuracy at several tolerances (e.g. ±1, ±2, ±5 minutes) per landmark.</w:t>
      </w:r>
    </w:p>
    <w:p>
      <w:pPr>
        <w:pStyle w:val="ListParagraph"/>
        <w:numPr>
          <w:ilvl w:val="0"/>
          <w:numId w:val="2"/>
        </w:numPr>
        <w:spacing w:after="80"/>
      </w:pPr>
      <w:r>
        <w:t xml:space="preserve">Precision/recall/F1 for presence detection, evaluated on the “hard” split where landmarks can be genuinely absent.</w:t>
      </w:r>
    </w:p>
    <w:p>
      <w:pPr>
        <w:pStyle w:val="ListParagraph"/>
        <w:numPr>
          <w:ilvl w:val="0"/>
          <w:numId w:val="2"/>
        </w:numPr>
        <w:spacing w:after="80"/>
      </w:pPr>
      <w:r>
        <w:t xml:space="preserve">Paired bootstrap confidence intervals (resampling test cycles with replacement) on both raw metrics and skill over baseline, to report results with uncertainty rather than a single point estimate.</w:t>
      </w:r>
    </w:p>
    <w:p>
      <w:pPr>
        <w:pStyle w:val="Heading1"/>
        <w:spacing w:after="160" w:before="320"/>
      </w:pPr>
      <w:r>
        <w:t xml:space="preserve">7. Current Status</w:t>
      </w:r>
    </w:p>
    <w:p>
      <w:pPr>
        <w:spacing w:after="160"/>
      </w:pPr>
      <w:r>
        <w:t xml:space="preserve">As of this writing: the project's synthetic-data simulator (shape primitives and full per-cycle generation logic) is implemented and its landmark chronology has been checked against the literature's description of nitrification ending before denitrification. Configuration scaffolding (simulation, model, and training hyperparameters, with disjoint seed blocks per split) is in place. Remaining implementation work: derivative/normalization feature computation, the PyTorch dataset wrapper, the transformer model and its two head variants, the two baselines, training/evaluation entry points, unit tests, and exploratory notebooks — followed by the verification sequence in Section 6 (baselines first, then a fast end-to-end sanity run, then full-scale training and comparison).</w:t>
      </w:r>
    </w:p>
    <w:p>
      <w:pPr>
        <w:pStyle w:val="Heading1"/>
        <w:spacing w:after="160" w:before="320"/>
      </w:pPr>
      <w:r>
        <w:t xml:space="preserve">8. Future Work</w:t>
      </w:r>
    </w:p>
    <w:p>
      <w:pPr>
        <w:pStyle w:val="ListParagraph"/>
        <w:numPr>
          <w:ilvl w:val="0"/>
          <w:numId w:val="2"/>
        </w:numPr>
        <w:spacing w:after="80"/>
      </w:pPr>
      <w:r>
        <w:t xml:space="preserve">Qualitative validation against real pH segments from the existing water-quality dataset once the model is trained (feature-response sanity check, not supervised fine-tuning).</w:t>
      </w:r>
    </w:p>
    <w:p>
      <w:pPr>
        <w:pStyle w:val="ListParagraph"/>
        <w:numPr>
          <w:ilvl w:val="0"/>
          <w:numId w:val="2"/>
        </w:numPr>
        <w:spacing w:after="80"/>
      </w:pPr>
      <w:r>
        <w:t xml:space="preserve">Real ORP/DO validation once a live plant's historian API is restored (currently returns no data for any tag or time range tested).</w:t>
      </w:r>
    </w:p>
    <w:p>
      <w:pPr>
        <w:pStyle w:val="ListParagraph"/>
        <w:numPr>
          <w:ilvl w:val="0"/>
          <w:numId w:val="2"/>
        </w:numPr>
        <w:spacing w:after="80"/>
      </w:pPr>
      <w:r>
        <w:t xml:space="preserve">Extending beyond a single post-anoxic phase ordering to alternative SBR configurations (e.g. pre-anoxic), which would require re-deriving the landmark chronology used to generate synthetic training data.</w:t>
      </w:r>
    </w:p>
    <w:p>
      <w:pPr>
        <w:pStyle w:val="Heading1"/>
        <w:spacing w:after="160" w:before="320"/>
      </w:pPr>
      <w:r>
        <w:t xml:space="preserve">References</w:t>
      </w:r>
    </w:p>
    <w:p>
      <w:pPr>
        <w:spacing w:after="160"/>
      </w:pPr>
      <w:r>
        <w:rPr>
          <w:i/>
          <w:iCs/>
        </w:rPr>
        <w:t xml:space="preserve">Sources referenced in the related-work review (exact citation details to be completed):</w:t>
      </w:r>
    </w:p>
    <w:p>
      <w:pPr>
        <w:pStyle w:val="ListParagraph"/>
        <w:numPr>
          <w:ilvl w:val="0"/>
          <w:numId w:val="2"/>
        </w:numPr>
        <w:spacing w:after="80"/>
      </w:pPr>
      <w:r>
        <w:t xml:space="preserve">Fixed-schedule BioWin optimization study (Koya University-affiliated), 2026.</w:t>
      </w:r>
    </w:p>
    <w:p>
      <w:pPr>
        <w:spacing w:after="160"/>
      </w:pPr>
      <w:r>
        <w:t xml:space="preserve">Real-time SBR phase control via pH/ORP inflection points — </w:t>
      </w:r>
      <w:hyperlink w:history="1" r:id="rIdfgbzrttqtxsijtn9-7itg">
        <w:r>
          <w:rPr>
            <w:rStyle w:val="Hyperlink"/>
          </w:rPr>
          <w:t xml:space="preserve">onlinelibrary.wiley.com/doi/10.1155/2010/587032</w:t>
        </w:r>
      </w:hyperlink>
    </w:p>
    <w:p>
      <w:pPr>
        <w:spacing w:after="160"/>
      </w:pPr>
      <w:r>
        <w:t xml:space="preserve">Model-based DO trajectory optimization, full-scale Polish plant (Swarzewo, 6,400 m³/d) — DOI/ScienceDirect (full citation pending).</w:t>
      </w:r>
    </w:p>
    <w:p>
      <w:pPr>
        <w:spacing w:after="160"/>
      </w:pPr>
      <w:r>
        <w:t xml:space="preserve">Inverse-SVM ML aeration control study — </w:t>
      </w:r>
      <w:hyperlink w:history="1" r:id="rIdizqx1rmt05wr1ukwl3opp">
        <w:r>
          <w:rPr>
            <w:rStyle w:val="Hyperlink"/>
          </w:rPr>
          <w:t xml:space="preserve">tandfonline.com/doi/full/10.1080/09593330.2025.2562373</w:t>
        </w:r>
      </w:hyperlink>
      <w:r>
        <w:t xml:space="preserve"> (IWA Publishing).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gbzrttqtxsijtn9-7itg" Type="http://schemas.openxmlformats.org/officeDocument/2006/relationships/hyperlink" Target="https://onlinelibrary.wiley.com/doi/10.1155/2010/587032" TargetMode="External"/><Relationship Id="rIdizqx1rmt05wr1ukwl3opp" Type="http://schemas.openxmlformats.org/officeDocument/2006/relationships/hyperlink" Target="https://www.tandfonline.com/doi/full/10.1080/09593330.2025.2562373"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2026-09-21T02:54:21.736Z</dcterms:created>
  <dcterms:modified xsi:type="dcterms:W3CDTF">2026-09-21T02:54:21.736Z</dcterms:modified>
</cp:coreProperties>
</file>

<file path=docProps/custom.xml><?xml version="1.0" encoding="utf-8"?>
<Properties xmlns="http://schemas.openxmlformats.org/officeDocument/2006/custom-properties" xmlns:vt="http://schemas.openxmlformats.org/officeDocument/2006/docPropsVTypes"/>
</file>