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3556"/>
          <w:sz w:val="44"/>
        </w:rPr>
        <w:t>A. Requirement Analysis Docket</w:t>
      </w:r>
    </w:p>
    <w:p>
      <w:pPr>
        <w:jc w:val="center"/>
      </w:pPr>
      <w:r>
        <w:rPr>
          <w:sz w:val="20"/>
        </w:rPr>
        <w:t>Step 01 — Discover | Output document and requirement baseline</w:t>
      </w:r>
    </w:p>
    <w:p>
      <w:pPr>
        <w:jc w:val="center"/>
      </w:pPr>
      <w:r>
        <w:rPr>
          <w:i/>
          <w:sz w:val="16"/>
        </w:rPr>
        <w:t>Talentra Database Design | Repository-aligned Stage 1 deliverable</w:t>
      </w:r>
    </w:p>
    <w:p/>
    <w:p>
      <w:pPr>
        <w:pStyle w:val="Heading1"/>
      </w:pPr>
      <w:r>
        <w:t>1. Purpose and source baseline</w:t>
      </w:r>
    </w:p>
    <w:p>
      <w:r>
        <w:t>This docket structures the requirements for Talentra, a job search and demand-management platform. It follows the hackathon docket and the committed repository requirement-analysis docket (docs/requirement-analysis-docket.md), distinguishing database responsibilities from application and external-system boundaries.</w:t>
      </w:r>
    </w:p>
    <w:p>
      <w:pPr>
        <w:pStyle w:val="Heading1"/>
      </w:pPr>
      <w:r>
        <w:t>2. Problem statement</w:t>
      </w:r>
    </w:p>
    <w:p>
      <w:r>
        <w:t>The project brief identifies fragmented legacy job and candidate data, low retention across existing channels and a lack of a unified hiring-pipeline view. The repository expands the problem to disconnected workforce categories, unstructured pre-qualification, inconsistent contact data, weak auditability and commercial leakage when seat limits are not enforced.</w:t>
      </w:r>
    </w:p>
    <w:p>
      <w:pPr>
        <w:pStyle w:val="Heading1"/>
      </w:pPr>
      <w:r>
        <w:t>3. Objectives</w:t>
      </w:r>
    </w:p>
    <w:p>
      <w:pPr>
        <w:pStyle w:val="ListBullet"/>
        <w:spacing w:after="40"/>
      </w:pPr>
      <w:r>
        <w:t>Provide a coherent PostgreSQL data foundation for candidate profiles, job requisitions, applications, organisations and recruiter relationships.</w:t>
      </w:r>
    </w:p>
    <w:p>
      <w:pPr>
        <w:pStyle w:val="ListBullet"/>
        <w:spacing w:after="40"/>
      </w:pPr>
      <w:r>
        <w:t>Support staffing, professional/permanent hiring, apprenticeships, campus/fresher hiring, consultant sourcing and gig/project work.</w:t>
      </w:r>
    </w:p>
    <w:p>
      <w:pPr>
        <w:pStyle w:val="ListBullet"/>
        <w:spacing w:after="40"/>
      </w:pPr>
      <w:r>
        <w:t>Enforce data integrity, access boundaries, consent, lifecycle and audit rules at the database or access-control tier.</w:t>
      </w:r>
    </w:p>
    <w:p>
      <w:pPr>
        <w:pStyle w:val="ListBullet"/>
        <w:spacing w:after="40"/>
      </w:pPr>
      <w:r>
        <w:t>Represent plans, subscriptions, wallet activity, payments, licences, seats and device/session limits.</w:t>
      </w:r>
    </w:p>
    <w:p>
      <w:pPr>
        <w:pStyle w:val="ListBullet"/>
        <w:spacing w:after="40"/>
      </w:pPr>
      <w:r>
        <w:t>Enable analytical reporting through dimensions, facts and aggregate marts.</w:t>
      </w:r>
    </w:p>
    <w:p>
      <w:pPr>
        <w:pStyle w:val="ListBullet"/>
        <w:spacing w:after="40"/>
      </w:pPr>
      <w:r>
        <w:t>Provide repeatable provisioning, synthetic data generation, schema inspection and automated verification artefacts.</w:t>
      </w:r>
    </w:p>
    <w:p>
      <w:pPr>
        <w:pStyle w:val="Heading1"/>
      </w:pPr>
      <w:r>
        <w:t>4. Scope and boundaries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184"/>
            <w:shd w:fill="193556"/>
          </w:tcPr>
          <w:p>
            <w:r>
              <w:rPr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5184"/>
            <w:shd w:fill="193556"/>
          </w:tcPr>
          <w:p>
            <w:r>
              <w:rPr>
                <w:b/>
                <w:color w:val="FFFFFF"/>
                <w:sz w:val="16"/>
              </w:rPr>
              <w:t>Boundary / not owned by this database</w:t>
            </w:r>
          </w:p>
        </w:tc>
      </w:tr>
      <w:tr>
        <w:tc>
          <w:tcPr>
            <w:tcW w:type="dxa" w:w="5184"/>
            <w:vAlign w:val="top"/>
          </w:tcPr>
          <w:p>
            <w:r>
              <w:rPr>
                <w:sz w:val="15"/>
              </w:rPr>
              <w:t>Logical and physical PostgreSQL schema; master/reference data; profiles; jobs and applications; administration and tenancy; gig; sourcing; licensing; billing; engagement; analytics; seed fixtures; indexes/constraints/triggers; regression suites; security, performance and recovery artefacts.</w:t>
            </w:r>
          </w:p>
        </w:tc>
        <w:tc>
          <w:tcPr>
            <w:tcW w:type="dxa" w:w="5184"/>
            <w:vAlign w:val="top"/>
          </w:tcPr>
          <w:p>
            <w:r>
              <w:rPr>
                <w:sz w:val="15"/>
              </w:rPr>
              <w:t>No frontend/UI implementation is represented by the database repository. Live external services are not implemented as owned systems. Payment PAN/CVV are not stored. Gig fulfilment stays external; Talentra retains handoff/status/earnings references. Full enterprise scale is projected from laptop-scale evidence rather than loaded on a laptop.</w:t>
            </w:r>
          </w:p>
        </w:tc>
      </w:tr>
    </w:tbl>
    <w:p/>
    <w:p>
      <w:pPr>
        <w:pStyle w:val="Heading1"/>
      </w:pPr>
      <w:r>
        <w:t>5. Actors and principal goals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944"/>
            <w:shd w:fill="193556"/>
          </w:tcPr>
          <w:p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type="dxa" w:w="4680"/>
            <w:shd w:fill="193556"/>
          </w:tcPr>
          <w:p>
            <w:r>
              <w:rPr>
                <w:b/>
                <w:color w:val="FFFFFF"/>
                <w:sz w:val="16"/>
              </w:rPr>
              <w:t>Goal / responsibility</w:t>
            </w:r>
          </w:p>
        </w:tc>
        <w:tc>
          <w:tcPr>
            <w:tcW w:type="dxa" w:w="3744"/>
            <w:shd w:fill="193556"/>
          </w:tcPr>
          <w:p>
            <w:r>
              <w:rPr>
                <w:b/>
                <w:color w:val="FFFFFF"/>
                <w:sz w:val="16"/>
              </w:rPr>
              <w:t>Key guardrail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Candidate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Create and maintain profile/resume, manage preferences and consent, search/apply, track status and control visibility.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A blocked recruiter/employer/consultant must not see the candidate; sensitive actions are auditable.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Employer / client / account admin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Register/verify organisation, manage account, publish jobs, review applicants and allocate seats.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Organisation/account ownership validated; seat and billing quotas enforced.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Recruiter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Manage assigned-company requisitions, screen, interview, shortlist, outreach and profile downloads.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May act only within company scope; cannot register candidate on their behalf.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Consultant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Work on open-to-consultants jobs after employer approval; conduct outreach and build shortlists.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Open-jobs and accepted-request gates; shortlist provenance retained.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Gig worker / requester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Maintain gig services/availability, apply or review proposals, follow assignments and rate completed gigs.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No overlapping availability; position limits and self-application guards.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Placement officer (TPO)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Support campus/fresher hiring and related reporting.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Role-appropriate scope required.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sz w:val="15"/>
              </w:rPr>
              <w:t>Super Admin / Admin / system / auditor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Operate platform configuration, security, reconciliation and investigations.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Least privilege; immutable audit/ledger history.</w:t>
            </w:r>
          </w:p>
        </w:tc>
      </w:tr>
    </w:tbl>
    <w:p/>
    <w:p>
      <w:pPr>
        <w:pStyle w:val="Heading1"/>
      </w:pPr>
      <w:r>
        <w:t>6. Functional requirements catalogue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893"/>
            <w:shd w:fill="193556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088"/>
            <w:shd w:fill="193556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744"/>
            <w:shd w:fill="193556"/>
          </w:tcPr>
          <w:p>
            <w:r>
              <w:rPr>
                <w:b/>
                <w:color w:val="FFFFFF"/>
                <w:sz w:val="16"/>
              </w:rPr>
              <w:t>Acceptance intent</w:t>
            </w:r>
          </w:p>
        </w:tc>
        <w:tc>
          <w:tcPr>
            <w:tcW w:type="dxa" w:w="1123"/>
            <w:shd w:fill="193556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304"/>
            <w:shd w:fill="193556"/>
          </w:tcPr>
          <w:p>
            <w:r>
              <w:rPr>
                <w:b/>
                <w:color w:val="FFFFFF"/>
                <w:sz w:val="16"/>
              </w:rPr>
              <w:t>Repo area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REQ-001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Identity/contact normalization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Canonical lowercase account email and normalized international phone formats.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master_data, administration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REQ-002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Candidate profile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Contact, education, work, skills, languages, projects, certifications, preferences and resumes.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profile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REQ-003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Job requirement lifecycle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Requisitions, positions, publish state, criteria and consultant openness.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REQ-004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Application pipeline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Applications, screenings, interviews, feedback, offers and status history.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REQ-005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Structured screening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Versioned questionnaires with typed questions and structured options.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REQ-006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Organisation tenancy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Company hierarchy, accounts, verification, locations and recruiter mappings.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organisation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REQ-007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Identity and governance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Credentials, roles, sessions, consent, blocking and sensitive-action audit.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administration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REQ-008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Gig marketplace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Separate gig profile, availability, requests, proposals, contracts, milestones, disputes, ratings and handoff references.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gig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REQ-009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Consultant sourcing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Sourcing request, accept/decline, outreach batches, recipients and shortlist provenance.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sourcing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REQ-010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Licences and seats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Quota enforcement, named seats, device/session limit and auditable revocation.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licence, administration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REQ-011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Subscription and wallet integrity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Plans/prices, periods, entitlements, wallet ledger, invoices, payments and refunds.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billing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REQ-012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Engagement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Notifications, job alerts, community/moderation, support/FAQ and referrals.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Included in repo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engagement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REQ-013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Analytics and reporting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Dimensional model, facts, aggregate marts and ETL/reconciliation controls.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analytics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REQ-014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Privacy and secure access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Tenant-aware access, PII protection, blocked-candidate visibility and small-cell masking.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administration, analytics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REQ-015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Repeatable setup and tests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Ordered provisioning, seed fixtures, schema inventory and automated verification.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sql/, Python tooling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5"/>
              </w:rPr>
              <w:t>REQ-016</w:t>
            </w:r>
          </w:p>
        </w:tc>
        <w:tc>
          <w:tcPr>
            <w:tcW w:type="dxa" w:w="2088"/>
            <w:vAlign w:val="top"/>
          </w:tcPr>
          <w:p>
            <w:r>
              <w:rPr>
                <w:sz w:val="15"/>
              </w:rPr>
              <w:t>Scale/performance evidence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5"/>
              </w:rPr>
              <w:t>Laptop data profile, query latency, index rationale and extrapolation.</w:t>
            </w:r>
          </w:p>
        </w:tc>
        <w:tc>
          <w:tcPr>
            <w:tcW w:type="dxa" w:w="1123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04"/>
            <w:vAlign w:val="top"/>
          </w:tcPr>
          <w:p>
            <w:r>
              <w:rPr>
                <w:sz w:val="15"/>
              </w:rPr>
              <w:t>Phase 5 dossiers</w:t>
            </w:r>
          </w:p>
        </w:tc>
      </w:tr>
    </w:tbl>
    <w:p/>
    <w:p>
      <w:pPr>
        <w:pStyle w:val="Heading1"/>
      </w:pPr>
      <w:r>
        <w:t>7. Data and integrity standards</w:t>
      </w:r>
    </w:p>
    <w:p>
      <w:pPr>
        <w:pStyle w:val="ListBullet"/>
        <w:spacing w:after="40"/>
      </w:pPr>
      <w:r>
        <w:t>PostgreSQL 16+ is the repository’s declared target, using exclusion constraints, RLS, range types, partitioning and PostgreSQL-specific functions.</w:t>
      </w:r>
    </w:p>
    <w:p>
      <w:pPr>
        <w:pStyle w:val="ListBullet"/>
        <w:spacing w:after="40"/>
      </w:pPr>
      <w:r>
        <w:t>Surrogate bigint identity keys, foreign keys, unique/check constraints and explicit deletion policies enforce the data model.</w:t>
      </w:r>
    </w:p>
    <w:p>
      <w:pPr>
        <w:pStyle w:val="ListBullet"/>
        <w:spacing w:after="40"/>
      </w:pPr>
      <w:r>
        <w:t>Money uses fixed precision with currency references; raw payment-card PAN/CVV remain outside the database boundary.</w:t>
      </w:r>
    </w:p>
    <w:p>
      <w:pPr>
        <w:pStyle w:val="ListBullet"/>
        <w:spacing w:after="40"/>
      </w:pPr>
      <w:r>
        <w:t>Audit, consent, status and wallet/payment history use append-only patterns where specified.</w:t>
      </w:r>
    </w:p>
    <w:p>
      <w:pPr>
        <w:pStyle w:val="ListBullet"/>
        <w:spacing w:after="40"/>
      </w:pPr>
      <w:r>
        <w:t>Effective-dated prices/subscriptions and selected availability ranges have overlap controls.</w:t>
      </w:r>
    </w:p>
    <w:p>
      <w:pPr>
        <w:pStyle w:val="ListBullet"/>
        <w:spacing w:after="40"/>
      </w:pPr>
      <w:r>
        <w:t>Sensitive values require classification and suitable encryption, masking, tokenization or pseudonymous representation.</w:t>
      </w:r>
    </w:p>
    <w:p>
      <w:pPr>
        <w:pStyle w:val="ListBullet"/>
        <w:spacing w:after="40"/>
      </w:pPr>
      <w:r>
        <w:t>UTF-8, lookup tables, language-aware content and UI translation structures support multilingual operation.</w:t>
      </w:r>
    </w:p>
    <w:p>
      <w:pPr>
        <w:pStyle w:val="Heading1"/>
      </w:pPr>
      <w:r>
        <w:t>8. Non-functional requirements and evidence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12"/>
            <w:shd w:fill="193556"/>
          </w:tcPr>
          <w:p>
            <w:r>
              <w:rPr>
                <w:b/>
                <w:color w:val="FFFFFF"/>
                <w:sz w:val="16"/>
              </w:rPr>
              <w:t>NFR</w:t>
            </w:r>
          </w:p>
        </w:tc>
        <w:tc>
          <w:tcPr>
            <w:tcW w:type="dxa" w:w="5616"/>
            <w:shd w:fill="193556"/>
          </w:tcPr>
          <w:p>
            <w:r>
              <w:rPr>
                <w:b/>
                <w:color w:val="FFFFFF"/>
                <w:sz w:val="16"/>
              </w:rPr>
              <w:t>Target / verification approach</w:t>
            </w:r>
          </w:p>
        </w:tc>
        <w:tc>
          <w:tcPr>
            <w:tcW w:type="dxa" w:w="2808"/>
            <w:shd w:fill="193556"/>
          </w:tcPr>
          <w:p>
            <w:r>
              <w:rPr>
                <w:b/>
                <w:color w:val="FFFFFF"/>
                <w:sz w:val="16"/>
              </w:rPr>
              <w:t>Evidence status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Performance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Phase 5 dossier reports warm-cache p50/p95/p99 for representative queries; repeat measurements before external claims.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Documented; not rerun for this deliverable.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Scale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Laptop-scale: 1M candidates, 100k requisitions, 5M applications; projected full scale: 10M candidates, 1M jobs, 100M applications.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Repository projection; not a full-scale load claim.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Test role/tenant scope, candidate blocking, append-only records and concurrent session/device limits.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Test assets and design notes exist in repo.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Reliability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RTO &lt;30 minutes and RPO &lt;5 minutes are stated; retain restore timing and data-loss checks.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Recovery dossier exists; environment-specific.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Maintainability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Use one master setup/test runner, module SQL, data dictionary and architecture documents.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Repository assets.</w:t>
            </w:r>
          </w:p>
        </w:tc>
      </w:tr>
      <w:tr>
        <w:tc>
          <w:tcPr>
            <w:tcW w:type="dxa" w:w="1512"/>
            <w:vAlign w:val="top"/>
          </w:tcPr>
          <w:p>
            <w:r>
              <w:rPr>
                <w:sz w:val="15"/>
              </w:rPr>
              <w:t>Privacy</w:t>
            </w:r>
          </w:p>
        </w:tc>
        <w:tc>
          <w:tcPr>
            <w:tcW w:type="dxa" w:w="5616"/>
            <w:vAlign w:val="top"/>
          </w:tcPr>
          <w:p>
            <w:r>
              <w:rPr>
                <w:sz w:val="15"/>
              </w:rPr>
              <w:t>Purpose-bound consent, classification, masking and pseudonymous/small-cell analytics.</w:t>
            </w:r>
          </w:p>
        </w:tc>
        <w:tc>
          <w:tcPr>
            <w:tcW w:type="dxa" w:w="2808"/>
            <w:vAlign w:val="top"/>
          </w:tcPr>
          <w:p>
            <w:r>
              <w:rPr>
                <w:sz w:val="15"/>
              </w:rPr>
              <w:t>Design does not by itself certify legal compliance.</w:t>
            </w:r>
          </w:p>
        </w:tc>
      </w:tr>
    </w:tbl>
    <w:p/>
    <w:p>
      <w:pPr>
        <w:pStyle w:val="Heading1"/>
      </w:pPr>
      <w:r>
        <w:t>9. Risks and open decisions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88"/>
            <w:shd w:fill="193556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3384"/>
            <w:shd w:fill="193556"/>
          </w:tcPr>
          <w:p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type="dxa" w:w="4464"/>
            <w:shd w:fill="193556"/>
          </w:tcPr>
          <w:p>
            <w:r>
              <w:rPr>
                <w:b/>
                <w:color w:val="FFFFFF"/>
                <w:sz w:val="16"/>
              </w:rPr>
              <w:t>Control / resolution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sz w:val="15"/>
              </w:rPr>
              <w:t>Inventory drift</w:t>
            </w:r>
          </w:p>
        </w:tc>
        <w:tc>
          <w:tcPr>
            <w:tcW w:type="dxa" w:w="3384"/>
            <w:vAlign w:val="top"/>
          </w:tcPr>
          <w:p>
            <w:r>
              <w:rPr>
                <w:sz w:val="15"/>
              </w:rPr>
              <w:t>Counts can drift as schemas evolve.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Reconcile README, inspect_schema.py and SQL inventory during release.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sz w:val="15"/>
              </w:rPr>
              <w:t>Benchmarks versus proof</w:t>
            </w:r>
          </w:p>
        </w:tc>
        <w:tc>
          <w:tcPr>
            <w:tcW w:type="dxa" w:w="3384"/>
            <w:vAlign w:val="top"/>
          </w:tcPr>
          <w:p>
            <w:r>
              <w:rPr>
                <w:sz w:val="15"/>
              </w:rPr>
              <w:t>Reported timing is not the same as a fresh reproducible run.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Keep exact environment, dataset, query, run count and outputs.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sz w:val="15"/>
              </w:rPr>
              <w:t>Cross-tenant exposure</w:t>
            </w:r>
          </w:p>
        </w:tc>
        <w:tc>
          <w:tcPr>
            <w:tcW w:type="dxa" w:w="3384"/>
            <w:vAlign w:val="top"/>
          </w:tcPr>
          <w:p>
            <w:r>
              <w:rPr>
                <w:sz w:val="15"/>
              </w:rPr>
              <w:t>Incorrect access context can leak records despite a sound schema.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Test RLS and security functions with least-privilege roles.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sz w:val="15"/>
              </w:rPr>
              <w:t>External integrations</w:t>
            </w:r>
          </w:p>
        </w:tc>
        <w:tc>
          <w:tcPr>
            <w:tcW w:type="dxa" w:w="3384"/>
            <w:vAlign w:val="top"/>
          </w:tcPr>
          <w:p>
            <w:r>
              <w:rPr>
                <w:sz w:val="15"/>
              </w:rPr>
              <w:t>Gateway, KYC, messaging, legacy sync and gig fulfilment are external.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Define source of truth, idempotency, outage/retry behaviour and audit.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sz w:val="15"/>
              </w:rPr>
              <w:t>Scope confusion</w:t>
            </w:r>
          </w:p>
        </w:tc>
        <w:tc>
          <w:tcPr>
            <w:tcW w:type="dxa" w:w="3384"/>
            <w:vAlign w:val="top"/>
          </w:tcPr>
          <w:p>
            <w:r>
              <w:rPr>
                <w:sz w:val="15"/>
              </w:rPr>
              <w:t>Database repository does not establish a finished frontend.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Avoid describing UI or live integrations as completed based on schema alone.</w:t>
            </w:r>
          </w:p>
        </w:tc>
      </w:tr>
    </w:tbl>
    <w:p/>
    <w:p>
      <w:pPr>
        <w:pStyle w:val="Heading1"/>
      </w:pPr>
      <w:r>
        <w:t>10. Traceability and completion criteria</w:t>
      </w:r>
    </w:p>
    <w:p>
      <w:pPr>
        <w:pStyle w:val="ListBullet"/>
        <w:spacing w:after="40"/>
      </w:pPr>
      <w:r>
        <w:t>Map each requirement to entity/table → constraint/function/trigger → verification test.</w:t>
      </w:r>
    </w:p>
    <w:p>
      <w:pPr>
        <w:pStyle w:val="ListBullet"/>
        <w:spacing w:after="40"/>
      </w:pPr>
      <w:r>
        <w:t>Run python run_all_tests.py and preserve output.</w:t>
      </w:r>
    </w:p>
    <w:p>
      <w:pPr>
        <w:pStyle w:val="ListBullet"/>
        <w:spacing w:after="40"/>
      </w:pPr>
      <w:r>
        <w:t>Provision a fresh PostgreSQL database using sql/setup_all.sql, then run sql/test_all.sql.</w:t>
      </w:r>
    </w:p>
    <w:p>
      <w:pPr>
        <w:pStyle w:val="ListBullet"/>
        <w:spacing w:after="40"/>
      </w:pPr>
      <w:r>
        <w:t>Inspect the table/schema inventory and reconcile counts.</w:t>
      </w:r>
    </w:p>
    <w:p>
      <w:pPr>
        <w:pStyle w:val="ListBullet"/>
        <w:spacing w:after="40"/>
      </w:pPr>
      <w:r>
        <w:t>Retain seed validation, performance, security and restore evidence.</w:t>
      </w:r>
    </w:p>
    <w:p>
      <w:pPr>
        <w:pStyle w:val="ListBullet"/>
        <w:spacing w:after="40"/>
      </w:pPr>
      <w:r>
        <w:t>Label items without execution evidence as documented or unverified, not independently passed.</w:t>
      </w:r>
    </w:p>
    <w:p>
      <w:pPr>
        <w:pStyle w:val="Heading1"/>
      </w:pPr>
      <w:r>
        <w:t>Sources</w:t>
      </w:r>
    </w:p>
    <w:p>
      <w:r>
        <w:t>Hackathon Docket Sections 1–7 and 10; repository https://github.com/crazyluhsnap/talentra-database-design; docs/requirement-analysis-docket.md; Phase 1–4 architecture specifications; docs/data-dictionary-phase-1.md; Phase 5 performance/security/recovery dossiers.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5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67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