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93556"/>
          <w:sz w:val="44"/>
        </w:rPr>
        <w:t>B. Stakeholders, Personas &amp; Roles</w:t>
      </w:r>
    </w:p>
    <w:p>
      <w:pPr>
        <w:jc w:val="center"/>
      </w:pPr>
      <w:r>
        <w:rPr>
          <w:sz w:val="20"/>
        </w:rPr>
        <w:t>Step 02 — Discover | Actor goals, permissions and boundaries</w:t>
      </w:r>
    </w:p>
    <w:p>
      <w:pPr>
        <w:jc w:val="center"/>
      </w:pPr>
      <w:r>
        <w:rPr>
          <w:i/>
          <w:sz w:val="16"/>
        </w:rPr>
        <w:t>Talentra Database Design | Repository-aligned Stage 1 deliverable</w:t>
      </w:r>
    </w:p>
    <w:p/>
    <w:p>
      <w:pPr>
        <w:pStyle w:val="Heading1"/>
      </w:pPr>
      <w:r>
        <w:t>1. Purpose</w:t>
      </w:r>
    </w:p>
    <w:p>
      <w:r>
        <w:t>This document identifies Talentra’s human and system actors and maps their core tasks to data-access boundaries. It follows Section 3 of the hackathon docket and the access controls described in the repository.</w:t>
      </w:r>
    </w:p>
    <w:p>
      <w:pPr>
        <w:pStyle w:val="Heading1"/>
      </w:pPr>
      <w:r>
        <w:t>2. Stakeholder groups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232"/>
            <w:shd w:fill="193556"/>
          </w:tcPr>
          <w:p>
            <w:r>
              <w:rPr>
                <w:b/>
                <w:color w:val="FFFFFF"/>
                <w:sz w:val="16"/>
              </w:rPr>
              <w:t>Stakeholder</w:t>
            </w:r>
          </w:p>
        </w:tc>
        <w:tc>
          <w:tcPr>
            <w:tcW w:type="dxa" w:w="4464"/>
            <w:shd w:fill="193556"/>
          </w:tcPr>
          <w:p>
            <w:r>
              <w:rPr>
                <w:b/>
                <w:color w:val="FFFFFF"/>
                <w:sz w:val="16"/>
              </w:rPr>
              <w:t>Interest / success outcome</w:t>
            </w:r>
          </w:p>
        </w:tc>
        <w:tc>
          <w:tcPr>
            <w:tcW w:type="dxa" w:w="3888"/>
            <w:shd w:fill="193556"/>
          </w:tcPr>
          <w:p>
            <w:r>
              <w:rPr>
                <w:b/>
                <w:color w:val="FFFFFF"/>
                <w:sz w:val="16"/>
              </w:rPr>
              <w:t>Main data areas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Candidates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Accurate profile, fair discovery, application tracking, privacy and visibility control.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profile, recruitment, administration, engagement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Employers / clients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Verified organisation, relevant requisitions, shortlist quality and pipeline visibility.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organisation, recruitment, sourcing, billing, analytics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Recruiters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Manage assigned requisitions, search/screen/interview, shortlist and use paid features.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organisation, recruitment, profile, billing, sourcing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Consultants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Source for open and accepted opportunities; trace outreach and shortlist ownership.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sourcing, recruitment, profile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Gig workers / requesters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Manage service availability, respond to gigs, track assignments and ratings.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gig, profile, billing, analytics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Placement / campus officers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Support campus/fresher hiring and review associated pipeline.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recruitment, profile, organisation, analytics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Account administrators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Manage seats, recruiter assignments, subscription usage and account state.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organisation, licence, billing, administration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Platform operations / security / auditor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Manage access and investigate events, privacy, and financial issues.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administration, organisation, licence, billing, engagement</w:t>
            </w:r>
          </w:p>
        </w:tc>
      </w:tr>
      <w:tr>
        <w:tc>
          <w:tcPr>
            <w:tcW w:type="dxa" w:w="2232"/>
            <w:vAlign w:val="top"/>
          </w:tcPr>
          <w:p>
            <w:r>
              <w:rPr>
                <w:sz w:val="15"/>
              </w:rPr>
              <w:t>System integrations</w:t>
            </w:r>
          </w:p>
        </w:tc>
        <w:tc>
          <w:tcPr>
            <w:tcW w:type="dxa" w:w="4464"/>
            <w:vAlign w:val="top"/>
          </w:tcPr>
          <w:p>
            <w:r>
              <w:rPr>
                <w:sz w:val="15"/>
              </w:rPr>
              <w:t>Payment, KYC/tax validation, messaging, legacy sync and gig fulfilment.</w:t>
            </w:r>
          </w:p>
        </w:tc>
        <w:tc>
          <w:tcPr>
            <w:tcW w:type="dxa" w:w="3888"/>
            <w:vAlign w:val="top"/>
          </w:tcPr>
          <w:p>
            <w:r>
              <w:rPr>
                <w:sz w:val="15"/>
              </w:rPr>
              <w:t>billing, organisation, administration, engagement, gig</w:t>
            </w:r>
          </w:p>
        </w:tc>
      </w:tr>
    </w:tbl>
    <w:p/>
    <w:p>
      <w:pPr>
        <w:pStyle w:val="Heading1"/>
      </w:pPr>
      <w:r>
        <w:t>3. Personas</w:t>
      </w:r>
    </w:p>
    <w:p>
      <w:pPr>
        <w:pStyle w:val="Heading2"/>
      </w:pPr>
      <w:r>
        <w:t>P-01 Candidate — Asha</w:t>
      </w:r>
    </w:p>
    <w:p>
      <w:r>
        <w:t>Goals: Builds a reusable profile and resume; sets preferences and consent; searches and applies; tracks application status.</w:t>
      </w:r>
    </w:p>
    <w:p>
      <w:r>
        <w:t>Permissions / controls: Can update permitted own data. Can block users/organisations. Blocked parties must not see the candidate.</w:t>
      </w:r>
    </w:p>
    <w:p>
      <w:pPr>
        <w:pStyle w:val="Heading2"/>
      </w:pPr>
      <w:r>
        <w:t>P-02 Employer / hiring manager — Rohan</w:t>
      </w:r>
    </w:p>
    <w:p>
      <w:r>
        <w:t>Goals: Registers and verifies a company; posts jobs; configures screening questions; reviews applicants.</w:t>
      </w:r>
    </w:p>
    <w:p>
      <w:r>
        <w:t>Permissions / controls: Actions are scoped to the organisation/account. Status changes and sensitive actions are validated/audited.</w:t>
      </w:r>
    </w:p>
    <w:p>
      <w:pPr>
        <w:pStyle w:val="Heading2"/>
      </w:pPr>
      <w:r>
        <w:t>P-03 Recruiter — Meera</w:t>
      </w:r>
    </w:p>
    <w:p>
      <w:r>
        <w:t>Goals: Manages requisitions assigned to her company, contacts candidates, runs outreach, shortlists and downloads profiles.</w:t>
      </w:r>
    </w:p>
    <w:p>
      <w:r>
        <w:t>Permissions / controls: Must not access another company’s jobs; cannot register candidates for them; downloads have exactly one funding reference.</w:t>
      </w:r>
    </w:p>
    <w:p>
      <w:pPr>
        <w:pStyle w:val="Heading2"/>
      </w:pPr>
      <w:r>
        <w:t>P-04 Consultant — Kabir</w:t>
      </w:r>
    </w:p>
    <w:p>
      <w:r>
        <w:t>Goals: Works on open consultant requests, contacts candidates and submits shortlists.</w:t>
      </w:r>
    </w:p>
    <w:p>
      <w:r>
        <w:t>Permissions / controls: Cannot work on closed jobs or before request acceptance; shortlist provenance is required.</w:t>
      </w:r>
    </w:p>
    <w:p>
      <w:pPr>
        <w:pStyle w:val="Heading2"/>
      </w:pPr>
      <w:r>
        <w:t>P-05 Gig worker — Dev</w:t>
      </w:r>
    </w:p>
    <w:p>
      <w:r>
        <w:t>Goals: Maintains separate service profile, rates, availability and project history; applies to gigs.</w:t>
      </w:r>
    </w:p>
    <w:p>
      <w:r>
        <w:t>Permissions / controls: Availability windows cannot overlap; creator self-application and capacity violations are rejected.</w:t>
      </w:r>
    </w:p>
    <w:p>
      <w:pPr>
        <w:pStyle w:val="Heading2"/>
      </w:pPr>
      <w:r>
        <w:t>P-06 Account administrator — Nisha</w:t>
      </w:r>
    </w:p>
    <w:p>
      <w:r>
        <w:t>Goals: Allocates named seats, monitors subscription use and revokes devices/sessions.</w:t>
      </w:r>
    </w:p>
    <w:p>
      <w:r>
        <w:t>Permissions / controls: Seat and device limits are enforced transactionally and violations are auditable.</w:t>
      </w:r>
    </w:p>
    <w:p>
      <w:pPr>
        <w:pStyle w:val="Heading2"/>
      </w:pPr>
      <w:r>
        <w:t>P-07 Security / auditor — Ira</w:t>
      </w:r>
    </w:p>
    <w:p>
      <w:r>
        <w:t>Goals: Investigates access, consent, unusual login, ledger and privacy events.</w:t>
      </w:r>
    </w:p>
    <w:p>
      <w:r>
        <w:t>Permissions / controls: Least-privilege access; audit and financial history is append-only; sensitive values are protected.</w:t>
      </w:r>
    </w:p>
    <w:p>
      <w:pPr>
        <w:pStyle w:val="Heading2"/>
      </w:pPr>
      <w:r>
        <w:t>P-08 Placement officer — TPO</w:t>
      </w:r>
    </w:p>
    <w:p>
      <w:r>
        <w:t>Goals: Supports campus/fresher pipelines and associated reporting.</w:t>
      </w:r>
    </w:p>
    <w:p>
      <w:r>
        <w:t>Permissions / controls: Access scope must be assigned and tested explicitly.</w:t>
      </w:r>
    </w:p>
    <w:p>
      <w:pPr>
        <w:pStyle w:val="Heading1"/>
      </w:pPr>
      <w:r>
        <w:t>4. Role–permission matrix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43"/>
            <w:shd w:fill="193556"/>
          </w:tcPr>
          <w:p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4392"/>
            <w:shd w:fill="193556"/>
          </w:tcPr>
          <w:p>
            <w:r>
              <w:rPr>
                <w:b/>
                <w:color w:val="FFFFFF"/>
                <w:sz w:val="16"/>
              </w:rPr>
              <w:t>Typical permitted actions</w:t>
            </w:r>
          </w:p>
        </w:tc>
        <w:tc>
          <w:tcPr>
            <w:tcW w:type="dxa" w:w="4248"/>
            <w:shd w:fill="193556"/>
          </w:tcPr>
          <w:p>
            <w:r>
              <w:rPr>
                <w:b/>
                <w:color w:val="FFFFFF"/>
                <w:sz w:val="16"/>
              </w:rPr>
              <w:t>Restrictions / checks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Super Admin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Platform configuration and high-privilege administration.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Privileged actions audited; separate high-privilege access.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Approved administrative tasks and configuration.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Cannot rewrite immutable audit/financial history.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Account Admin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Own account, recruiter mapping, seat/device allocation.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No cross-tenant access or quota bypass.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Guest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Public/non-authenticated surfaces allowed by product policy.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No private candidate/company/billing records.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Candidate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Own profile, resume, consent, preferences and applications.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Cannot read other candidates’ private records.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Employer / client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Own organisation’s requisitions and pipeline.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Respect candidate blocking and tenant boundaries.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Recruiter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Assigned-company requisitions, pipeline, candidate contact and profile download.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Cannot register candidate on their behalf; obey blocks/credits/seats.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Consultant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Approved sourcing requests, outreach and shortlist.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Only open consultant jobs and accepted requests.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Placement Officer (TPO)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Authorised campus/fresher workflows.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Explicit assignment and scope required.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System / worker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Queue, ETL, notifications and integration jobs.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Narrow service privileges and idempotent audited exchange.</w:t>
            </w:r>
          </w:p>
        </w:tc>
      </w:tr>
      <w:tr>
        <w:tc>
          <w:tcPr>
            <w:tcW w:type="dxa" w:w="1843"/>
            <w:vAlign w:val="top"/>
          </w:tcPr>
          <w:p>
            <w:r>
              <w:rPr>
                <w:sz w:val="15"/>
              </w:rPr>
              <w:t>Auditor / security</w:t>
            </w:r>
          </w:p>
        </w:tc>
        <w:tc>
          <w:tcPr>
            <w:tcW w:type="dxa" w:w="4392"/>
            <w:vAlign w:val="top"/>
          </w:tcPr>
          <w:p>
            <w:r>
              <w:rPr>
                <w:sz w:val="15"/>
              </w:rPr>
              <w:t>Review audit and verification evidence.</w:t>
            </w:r>
          </w:p>
        </w:tc>
        <w:tc>
          <w:tcPr>
            <w:tcW w:type="dxa" w:w="4248"/>
            <w:vAlign w:val="top"/>
          </w:tcPr>
          <w:p>
            <w:r>
              <w:rPr>
                <w:sz w:val="15"/>
              </w:rPr>
              <w:t>Read-only where possible; mask sensitive identifiers.</w:t>
            </w:r>
          </w:p>
        </w:tc>
      </w:tr>
    </w:tbl>
    <w:p/>
    <w:p>
      <w:pPr>
        <w:pStyle w:val="Heading1"/>
      </w:pPr>
      <w:r>
        <w:t>5. Enforcement model</w:t>
      </w:r>
    </w:p>
    <w:p>
      <w:pPr>
        <w:pStyle w:val="ListBullet"/>
        <w:spacing w:after="40"/>
      </w:pPr>
      <w:r>
        <w:t>Organisation mapping and tenant context limit recruiter access to authorised requisitions and related records.</w:t>
      </w:r>
    </w:p>
    <w:p>
      <w:pPr>
        <w:pStyle w:val="ListBullet"/>
        <w:spacing w:after="40"/>
      </w:pPr>
      <w:r>
        <w:t>administration.candidate_visible_to() and blocking/RLS controls are described as hiding candidates from blocked users or organisations.</w:t>
      </w:r>
    </w:p>
    <w:p>
      <w:pPr>
        <w:pStyle w:val="ListBullet"/>
        <w:spacing w:after="40"/>
      </w:pPr>
      <w:r>
        <w:t>start_user_session() serializes login checks with row locking and enforces licence device limits; excess attempts are recorded.</w:t>
      </w:r>
    </w:p>
    <w:p>
      <w:pPr>
        <w:pStyle w:val="ListBullet"/>
        <w:spacing w:after="40"/>
      </w:pPr>
      <w:r>
        <w:t>Append-only functions/triggers protect audit, consent, application status and wallet history from in-place mutation.</w:t>
      </w:r>
    </w:p>
    <w:p>
      <w:pPr>
        <w:pStyle w:val="ListBullet"/>
        <w:spacing w:after="40"/>
      </w:pPr>
      <w:r>
        <w:t>Encryption and blind-index patterns are described for selected sensitive identifiers; raw payment card PAN/CVV are excluded.</w:t>
      </w:r>
    </w:p>
    <w:p>
      <w:pPr>
        <w:pStyle w:val="ListBullet"/>
        <w:spacing w:after="40"/>
      </w:pPr>
      <w:r>
        <w:t>System integrations use service identities, idempotency keys and auditable outcomes.</w:t>
      </w:r>
    </w:p>
    <w:p>
      <w:pPr>
        <w:pStyle w:val="Heading1"/>
      </w:pPr>
      <w:r>
        <w:t>6. Acceptance test scenarios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024"/>
            <w:shd w:fill="193556"/>
          </w:tcPr>
          <w:p>
            <w:r>
              <w:rPr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3960"/>
            <w:shd w:fill="193556"/>
          </w:tcPr>
          <w:p>
            <w:r>
              <w:rPr>
                <w:b/>
                <w:color w:val="FFFFFF"/>
                <w:sz w:val="16"/>
              </w:rPr>
              <w:t>Expected outcome</w:t>
            </w:r>
          </w:p>
        </w:tc>
        <w:tc>
          <w:tcPr>
            <w:tcW w:type="dxa" w:w="3096"/>
            <w:shd w:fill="193556"/>
          </w:tcPr>
          <w:p>
            <w:r>
              <w:rPr>
                <w:b/>
                <w:color w:val="FFFFFF"/>
                <w:sz w:val="16"/>
              </w:rPr>
              <w:t>Evidence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Recruiter A queries Company B job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Access denied or record excluded.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Tenant/RLS test.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Candidate blocks Recruiter X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Candidate not discoverable by X.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Blocking visibility test.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Candidate blocks Organisation Y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Candidate hidden from Y’s mapped recruiters.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Organisation-block test.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Consultant submits against closed job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Request rejected and event recorded where specified.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Sourcing regression.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Outreach before employer approval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Rejected until accepted.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Sourcing workflow test.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Concurrent login exceeds device quota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New session rejected or documented policy applied; violation audited.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Session/device regression.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Update/delete append-only ledger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Operation fails; correction represented with compensating entry where applicable.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Immutability regression.</w:t>
            </w:r>
          </w:p>
        </w:tc>
      </w:tr>
      <w:tr>
        <w:tc>
          <w:tcPr>
            <w:tcW w:type="dxa" w:w="3024"/>
            <w:vAlign w:val="top"/>
          </w:tcPr>
          <w:p>
            <w:r>
              <w:rPr>
                <w:sz w:val="15"/>
              </w:rPr>
              <w:t>Analytics user views small cohort</w:t>
            </w:r>
          </w:p>
        </w:tc>
        <w:tc>
          <w:tcPr>
            <w:tcW w:type="dxa" w:w="3960"/>
            <w:vAlign w:val="top"/>
          </w:tcPr>
          <w:p>
            <w:r>
              <w:rPr>
                <w:sz w:val="15"/>
              </w:rPr>
              <w:t>Small-cell masking/suppression applied where configured.</w:t>
            </w:r>
          </w:p>
        </w:tc>
        <w:tc>
          <w:tcPr>
            <w:tcW w:type="dxa" w:w="3096"/>
            <w:vAlign w:val="top"/>
          </w:tcPr>
          <w:p>
            <w:r>
              <w:rPr>
                <w:sz w:val="15"/>
              </w:rPr>
              <w:t>Privacy/analytics test.</w:t>
            </w:r>
          </w:p>
        </w:tc>
      </w:tr>
    </w:tbl>
    <w:p/>
    <w:p>
      <w:pPr>
        <w:pStyle w:val="Heading1"/>
      </w:pPr>
      <w:r>
        <w:t>7. Scope limitation and extension</w:t>
      </w:r>
    </w:p>
    <w:p>
      <w:r>
        <w:t>The hackathon docket explicitly excludes fine-grained employer sub-roles (for example, separate posting/interview/pipeline roles) in this version. A future extension could add organisation-scoped permission bundles and explicit job-level grants without discarding the current organisation/account relationships.</w:t>
      </w:r>
    </w:p>
    <w:p>
      <w:pPr>
        <w:pStyle w:val="Heading1"/>
      </w:pPr>
      <w:r>
        <w:t>Sources</w:t>
      </w:r>
    </w:p>
    <w:p>
      <w:r>
        <w:t>Hackathon Docket Sections 3 and 7; repository URL; docs/phase-2-architecture-specification.md; docs/phase-4-full-architecture-specification.md; docs/phase-5-security-design-note.md; docs/ddd-lifecycle-verification-and-traceability.md.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935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678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tos" w:hAnsi="Aptos"/>
      <w:sz w:val="19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