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93556"/>
          <w:sz w:val="44"/>
        </w:rPr>
        <w:t>C. Feature Discovery</w:t>
      </w:r>
    </w:p>
    <w:p>
      <w:pPr>
        <w:jc w:val="center"/>
      </w:pPr>
      <w:r>
        <w:rPr>
          <w:sz w:val="20"/>
        </w:rPr>
        <w:t>Step 03 — Discover | Feature inventory, prioritisation and coverage</w:t>
      </w:r>
    </w:p>
    <w:p>
      <w:pPr>
        <w:jc w:val="center"/>
      </w:pPr>
      <w:r>
        <w:rPr>
          <w:i/>
          <w:sz w:val="16"/>
        </w:rPr>
        <w:t>Talentra Database Design | Repository-aligned Stage 1 deliverable</w:t>
      </w:r>
    </w:p>
    <w:p/>
    <w:p>
      <w:pPr>
        <w:pStyle w:val="Heading1"/>
      </w:pPr>
      <w:r>
        <w:t>1. Purpose and discovery approach</w:t>
      </w:r>
    </w:p>
    <w:p>
      <w:r>
        <w:t>Feature discovery derives capabilities from the hackathon workflow list and the repository’s schema architecture. This inventory describes database-backed capabilities and integration contracts; it does not imply that a complete UI or live third-party service is included in this repository.</w:t>
      </w:r>
    </w:p>
    <w:p>
      <w:pPr>
        <w:pStyle w:val="Heading1"/>
      </w:pPr>
      <w:r>
        <w:t>2. Feature inventory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720"/>
            <w:shd w:fill="193556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045"/>
            <w:shd w:fill="193556"/>
          </w:tcPr>
          <w:p>
            <w:r>
              <w:rPr>
                <w:b/>
                <w:color w:val="FFFFFF"/>
                <w:sz w:val="16"/>
              </w:rPr>
              <w:t>Feature</w:t>
            </w:r>
          </w:p>
        </w:tc>
        <w:tc>
          <w:tcPr>
            <w:tcW w:type="dxa" w:w="3917"/>
            <w:shd w:fill="193556"/>
          </w:tcPr>
          <w:p>
            <w:r>
              <w:rPr>
                <w:b/>
                <w:color w:val="FFFFFF"/>
                <w:sz w:val="16"/>
              </w:rPr>
              <w:t>Capability / user value</w:t>
            </w:r>
          </w:p>
        </w:tc>
        <w:tc>
          <w:tcPr>
            <w:tcW w:type="dxa" w:w="1109"/>
            <w:shd w:fill="193556"/>
          </w:tcPr>
          <w:p>
            <w:r>
              <w:rPr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2376"/>
            <w:shd w:fill="193556"/>
          </w:tcPr>
          <w:p>
            <w:r>
              <w:rPr>
                <w:b/>
                <w:color w:val="FFFFFF"/>
                <w:sz w:val="16"/>
              </w:rPr>
              <w:t>Repo area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F-01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Candidate profile/resume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Contacts, education, work, skills/languages, projects, certifications, preferences and resume history.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profile, master_data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F-02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Job requisitions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Requirements, positions, publication state, role/location, criteria and consultant openness.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recruitment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F-03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Applications/pipeline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Applications, shortlists, interviews, feedback, offers and status history.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recruitment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F-04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Screening questionnaires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Versioned definitions, typed questions and structured option trees.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recruitment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F-05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Organisation/tenant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Hierarchy, accounts, branches, verification and recruiter mapping.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organisation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F-06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Identity/governance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Credentials, roles/permissions, consent, sessions, login history, blocking and audit.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administration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F-07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Gig marketplace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Gig worker profiles, services, availability, requests, proposals, contracts, milestones, deliverables, disputes and ratings.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gig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F-08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Gig handoff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External fulfilment reference, assignment state and reconciled earnings.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Must integration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gig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F-09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Consultant sourcing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Request openness, employer decisions, campaigns, recipients and shortlist provenance.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sourcing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F-10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Licensing/seats/devices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Licence quotas, named seats, device tokens, session limits and revocation audit.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licence, administration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F-11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Subscription/pricing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Plans, effective-dated price, subscription periods, entitlements, renewals and cancellations.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billing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F-12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Wallet/payment/invoice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Credit ledger, payment state, invoices, refunds and profile-download/outreach deduction.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billing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F-13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Profile view/download history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Append-only actor/subject history and one valid funding source per successful download.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Must/expected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profile, billing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F-14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Notifications/job alerts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Preferences, translated templates, deliveries/attempts, suppression, quiet hours and alerts.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Included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engagement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F-15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Community/moderation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Topics, posts, reactions/comments, reports and moderation actions.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Expected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engagement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F-16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Support/FAQ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Tickets, messages/attachments, status history, category and SLA records.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Expected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engagement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F-17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Referral rewards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Referral codes/events and wallet-linked rewards with self-referral guard.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Expected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engagement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F-18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Analytics/reporting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Dimensions, facts, SCD2 history, marts and ETL controls.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analytics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F-19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Privacy/governance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Data classification, consent, encryption/masking, audit, retention and analytical suppression.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administration, organisation, analytics</w:t>
            </w:r>
          </w:p>
        </w:tc>
      </w:tr>
      <w:tr>
        <w:tc>
          <w:tcPr>
            <w:tcW w:type="dxa" w:w="720"/>
            <w:vAlign w:val="top"/>
          </w:tcPr>
          <w:p>
            <w:r>
              <w:rPr>
                <w:sz w:val="15"/>
              </w:rPr>
              <w:t>F-20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5"/>
              </w:rPr>
              <w:t>Synthetic data/verification</w:t>
            </w:r>
          </w:p>
        </w:tc>
        <w:tc>
          <w:tcPr>
            <w:tcW w:type="dxa" w:w="3917"/>
            <w:vAlign w:val="top"/>
          </w:tcPr>
          <w:p>
            <w:r>
              <w:rPr>
                <w:sz w:val="15"/>
              </w:rPr>
              <w:t>Seed generator, setup/test runners, schema inspector and module regressions.</w:t>
            </w:r>
          </w:p>
        </w:tc>
        <w:tc>
          <w:tcPr>
            <w:tcW w:type="dxa" w:w="1109"/>
            <w:vAlign w:val="top"/>
          </w:tcPr>
          <w:p>
            <w:r>
              <w:rPr>
                <w:sz w:val="15"/>
              </w:rPr>
              <w:t>Must</w:t>
            </w:r>
          </w:p>
        </w:tc>
        <w:tc>
          <w:tcPr>
            <w:tcW w:type="dxa" w:w="2376"/>
            <w:vAlign w:val="top"/>
          </w:tcPr>
          <w:p>
            <w:r>
              <w:rPr>
                <w:sz w:val="15"/>
              </w:rPr>
              <w:t>Python and sql/</w:t>
            </w:r>
          </w:p>
        </w:tc>
      </w:tr>
    </w:tbl>
    <w:p/>
    <w:p>
      <w:pPr>
        <w:pStyle w:val="Heading1"/>
      </w:pPr>
      <w:r>
        <w:t>3. Priority framing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016"/>
            <w:shd w:fill="193556"/>
          </w:tcPr>
          <w:p>
            <w:r>
              <w:rPr>
                <w:b/>
                <w:color w:val="FFFFFF"/>
                <w:sz w:val="16"/>
              </w:rPr>
              <w:t>Band</w:t>
            </w:r>
          </w:p>
        </w:tc>
        <w:tc>
          <w:tcPr>
            <w:tcW w:type="dxa" w:w="4608"/>
            <w:shd w:fill="193556"/>
          </w:tcPr>
          <w:p>
            <w:r>
              <w:rPr>
                <w:b/>
                <w:color w:val="FFFFFF"/>
                <w:sz w:val="16"/>
              </w:rPr>
              <w:t>Feature framing</w:t>
            </w:r>
          </w:p>
        </w:tc>
        <w:tc>
          <w:tcPr>
            <w:tcW w:type="dxa" w:w="4176"/>
            <w:shd w:fill="193556"/>
          </w:tcPr>
          <w:p>
            <w:r>
              <w:rPr>
                <w:b/>
                <w:color w:val="FFFFFF"/>
                <w:sz w:val="16"/>
              </w:rPr>
              <w:t>Examples</w:t>
            </w:r>
          </w:p>
        </w:tc>
      </w:tr>
      <w:tr>
        <w:tc>
          <w:tcPr>
            <w:tcW w:type="dxa" w:w="2016"/>
            <w:vAlign w:val="top"/>
          </w:tcPr>
          <w:p>
            <w:r>
              <w:rPr>
                <w:sz w:val="15"/>
              </w:rPr>
              <w:t>Must-have core</w:t>
            </w:r>
          </w:p>
        </w:tc>
        <w:tc>
          <w:tcPr>
            <w:tcW w:type="dxa" w:w="4608"/>
            <w:vAlign w:val="top"/>
          </w:tcPr>
          <w:p>
            <w:r>
              <w:rPr>
                <w:sz w:val="15"/>
              </w:rPr>
              <w:t>Necessary to support core workflows and data integrity.</w:t>
            </w:r>
          </w:p>
        </w:tc>
        <w:tc>
          <w:tcPr>
            <w:tcW w:type="dxa" w:w="4176"/>
            <w:vAlign w:val="top"/>
          </w:tcPr>
          <w:p>
            <w:r>
              <w:rPr>
                <w:sz w:val="15"/>
              </w:rPr>
              <w:t>Profile, jobs/applications, organisation, identity, gig, sourcing, licence, billing, analytics.</w:t>
            </w:r>
          </w:p>
        </w:tc>
      </w:tr>
      <w:tr>
        <w:tc>
          <w:tcPr>
            <w:tcW w:type="dxa" w:w="2016"/>
            <w:vAlign w:val="top"/>
          </w:tcPr>
          <w:p>
            <w:r>
              <w:rPr>
                <w:sz w:val="15"/>
              </w:rPr>
              <w:t>Expected platform coverage</w:t>
            </w:r>
          </w:p>
        </w:tc>
        <w:tc>
          <w:tcPr>
            <w:tcW w:type="dxa" w:w="4608"/>
            <w:vAlign w:val="top"/>
          </w:tcPr>
          <w:p>
            <w:r>
              <w:rPr>
                <w:sz w:val="15"/>
              </w:rPr>
              <w:t>Expected by the docket and included in repository architecture; verify exact coverage against SQL/tests.</w:t>
            </w:r>
          </w:p>
        </w:tc>
        <w:tc>
          <w:tcPr>
            <w:tcW w:type="dxa" w:w="4176"/>
            <w:vAlign w:val="top"/>
          </w:tcPr>
          <w:p>
            <w:r>
              <w:rPr>
                <w:sz w:val="15"/>
              </w:rPr>
              <w:t>Alerts, notification delivery, community, support/FAQ, referrals, view/download history.</w:t>
            </w:r>
          </w:p>
        </w:tc>
      </w:tr>
      <w:tr>
        <w:tc>
          <w:tcPr>
            <w:tcW w:type="dxa" w:w="2016"/>
            <w:vAlign w:val="top"/>
          </w:tcPr>
          <w:p>
            <w:r>
              <w:rPr>
                <w:sz w:val="15"/>
              </w:rPr>
              <w:t>Optional / stretch</w:t>
            </w:r>
          </w:p>
        </w:tc>
        <w:tc>
          <w:tcPr>
            <w:tcW w:type="dxa" w:w="4608"/>
            <w:vAlign w:val="top"/>
          </w:tcPr>
          <w:p>
            <w:r>
              <w:rPr>
                <w:sz w:val="15"/>
              </w:rPr>
              <w:t>Docket says these are optional and should be labelled separately.</w:t>
            </w:r>
          </w:p>
        </w:tc>
        <w:tc>
          <w:tcPr>
            <w:tcW w:type="dxa" w:w="4176"/>
            <w:vAlign w:val="top"/>
          </w:tcPr>
          <w:p>
            <w:r>
              <w:rPr>
                <w:sz w:val="15"/>
              </w:rPr>
              <w:t>Salary benchmarks, company ratings, trending snapshots, extra dashboard aggregates, feature flags.</w:t>
            </w:r>
          </w:p>
        </w:tc>
      </w:tr>
    </w:tbl>
    <w:p/>
    <w:p>
      <w:pPr>
        <w:pStyle w:val="Heading1"/>
      </w:pPr>
      <w:r>
        <w:t>4. Competitive coverage positioning</w:t>
      </w:r>
    </w:p>
    <w:p>
      <w:r>
        <w:t>The repository’s own benchmark compares Talentra with LinkedIn, Naukri and Monster/campus platforms. The following summarizes project positioning statements; it is not an independent competitor audit.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800"/>
            <w:shd w:fill="193556"/>
          </w:tcPr>
          <w:p>
            <w:r>
              <w:rPr>
                <w:b/>
                <w:color w:val="FFFFFF"/>
                <w:sz w:val="16"/>
              </w:rPr>
              <w:t>Area</w:t>
            </w:r>
          </w:p>
        </w:tc>
        <w:tc>
          <w:tcPr>
            <w:tcW w:type="dxa" w:w="4680"/>
            <w:shd w:fill="193556"/>
          </w:tcPr>
          <w:p>
            <w:r>
              <w:rPr>
                <w:b/>
                <w:color w:val="FFFFFF"/>
                <w:sz w:val="16"/>
              </w:rPr>
              <w:t>Design differentiator described in repo</w:t>
            </w:r>
          </w:p>
        </w:tc>
        <w:tc>
          <w:tcPr>
            <w:tcW w:type="dxa" w:w="4176"/>
            <w:shd w:fill="193556"/>
          </w:tcPr>
          <w:p>
            <w:r>
              <w:rPr>
                <w:b/>
                <w:color w:val="FFFFFF"/>
                <w:sz w:val="16"/>
              </w:rPr>
              <w:t>Evidence area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sz w:val="15"/>
              </w:rPr>
              <w:t>Workforce categories</w:t>
            </w:r>
          </w:p>
        </w:tc>
        <w:tc>
          <w:tcPr>
            <w:tcW w:type="dxa" w:w="4680"/>
            <w:vAlign w:val="top"/>
          </w:tcPr>
          <w:p>
            <w:r>
              <w:rPr>
                <w:sz w:val="15"/>
              </w:rPr>
              <w:t>Permanent, contract, campus/apprentice, consultant and gig in one data platform.</w:t>
            </w:r>
          </w:p>
        </w:tc>
        <w:tc>
          <w:tcPr>
            <w:tcW w:type="dxa" w:w="4176"/>
            <w:vAlign w:val="top"/>
          </w:tcPr>
          <w:p>
            <w:r>
              <w:rPr>
                <w:sz w:val="15"/>
              </w:rPr>
              <w:t>profile, recruitment, gig, sourcing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sz w:val="15"/>
              </w:rPr>
              <w:t>Pre-qualification</w:t>
            </w:r>
          </w:p>
        </w:tc>
        <w:tc>
          <w:tcPr>
            <w:tcW w:type="dxa" w:w="4680"/>
            <w:vAlign w:val="top"/>
          </w:tcPr>
          <w:p>
            <w:r>
              <w:rPr>
                <w:sz w:val="15"/>
              </w:rPr>
              <w:t>Structured question/option trees rather than resume-only filtering.</w:t>
            </w:r>
          </w:p>
        </w:tc>
        <w:tc>
          <w:tcPr>
            <w:tcW w:type="dxa" w:w="4176"/>
            <w:vAlign w:val="top"/>
          </w:tcPr>
          <w:p>
            <w:r>
              <w:rPr>
                <w:sz w:val="15"/>
              </w:rPr>
              <w:t>recruitment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sz w:val="15"/>
              </w:rPr>
              <w:t>Auditability</w:t>
            </w:r>
          </w:p>
        </w:tc>
        <w:tc>
          <w:tcPr>
            <w:tcW w:type="dxa" w:w="4680"/>
            <w:vAlign w:val="top"/>
          </w:tcPr>
          <w:p>
            <w:r>
              <w:rPr>
                <w:sz w:val="15"/>
              </w:rPr>
              <w:t>Append-only application history, audit records and financial ledgers.</w:t>
            </w:r>
          </w:p>
        </w:tc>
        <w:tc>
          <w:tcPr>
            <w:tcW w:type="dxa" w:w="4176"/>
            <w:vAlign w:val="top"/>
          </w:tcPr>
          <w:p>
            <w:r>
              <w:rPr>
                <w:sz w:val="15"/>
              </w:rPr>
              <w:t>administration, recruitment, billing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sz w:val="15"/>
              </w:rPr>
              <w:t>Multilingual support</w:t>
            </w:r>
          </w:p>
        </w:tc>
        <w:tc>
          <w:tcPr>
            <w:tcW w:type="dxa" w:w="4680"/>
            <w:vAlign w:val="top"/>
          </w:tcPr>
          <w:p>
            <w:r>
              <w:rPr>
                <w:sz w:val="15"/>
              </w:rPr>
              <w:t>Relational translation keys and language-aware content.</w:t>
            </w:r>
          </w:p>
        </w:tc>
        <w:tc>
          <w:tcPr>
            <w:tcW w:type="dxa" w:w="4176"/>
            <w:vAlign w:val="top"/>
          </w:tcPr>
          <w:p>
            <w:r>
              <w:rPr>
                <w:sz w:val="15"/>
              </w:rPr>
              <w:t>master_data, profile, recruitment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sz w:val="15"/>
              </w:rPr>
              <w:t>Data consistency</w:t>
            </w:r>
          </w:p>
        </w:tc>
        <w:tc>
          <w:tcPr>
            <w:tcW w:type="dxa" w:w="4680"/>
            <w:vAlign w:val="top"/>
          </w:tcPr>
          <w:p>
            <w:r>
              <w:rPr>
                <w:sz w:val="15"/>
              </w:rPr>
              <w:t>Normalized email/phone, fixed-precision money and currency references.</w:t>
            </w:r>
          </w:p>
        </w:tc>
        <w:tc>
          <w:tcPr>
            <w:tcW w:type="dxa" w:w="4176"/>
            <w:vAlign w:val="top"/>
          </w:tcPr>
          <w:p>
            <w:r>
              <w:rPr>
                <w:sz w:val="15"/>
              </w:rPr>
              <w:t>Phase 1 schema/data dictionary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sz w:val="15"/>
              </w:rPr>
              <w:t>Enterprise control</w:t>
            </w:r>
          </w:p>
        </w:tc>
        <w:tc>
          <w:tcPr>
            <w:tcW w:type="dxa" w:w="4680"/>
            <w:vAlign w:val="top"/>
          </w:tcPr>
          <w:p>
            <w:r>
              <w:rPr>
                <w:sz w:val="15"/>
              </w:rPr>
              <w:t>Tenant-aware access, blocking, seat/device quotas and wallet invariants.</w:t>
            </w:r>
          </w:p>
        </w:tc>
        <w:tc>
          <w:tcPr>
            <w:tcW w:type="dxa" w:w="4176"/>
            <w:vAlign w:val="top"/>
          </w:tcPr>
          <w:p>
            <w:r>
              <w:rPr>
                <w:sz w:val="15"/>
              </w:rPr>
              <w:t>organisation, administration, licence, billing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sz w:val="15"/>
              </w:rPr>
              <w:t>Analytics</w:t>
            </w:r>
          </w:p>
        </w:tc>
        <w:tc>
          <w:tcPr>
            <w:tcW w:type="dxa" w:w="4680"/>
            <w:vAlign w:val="top"/>
          </w:tcPr>
          <w:p>
            <w:r>
              <w:rPr>
                <w:sz w:val="15"/>
              </w:rPr>
              <w:t>Dimensional facts, aggregate marts and privacy-aware outputs.</w:t>
            </w:r>
          </w:p>
        </w:tc>
        <w:tc>
          <w:tcPr>
            <w:tcW w:type="dxa" w:w="4176"/>
            <w:vAlign w:val="top"/>
          </w:tcPr>
          <w:p>
            <w:r>
              <w:rPr>
                <w:sz w:val="15"/>
              </w:rPr>
              <w:t>analytics</w:t>
            </w:r>
          </w:p>
        </w:tc>
      </w:tr>
    </w:tbl>
    <w:p/>
    <w:p>
      <w:pPr>
        <w:pStyle w:val="Heading1"/>
      </w:pPr>
      <w:r>
        <w:t>5. Key acceptance scenarios</w:t>
      </w:r>
    </w:p>
    <w:p>
      <w:pPr>
        <w:pStyle w:val="ListBullet"/>
        <w:spacing w:after="40"/>
      </w:pPr>
      <w:r>
        <w:t>Candidate applies; application status and history can be retrieved; invalid transitions are rejected.</w:t>
      </w:r>
    </w:p>
    <w:p>
      <w:pPr>
        <w:pStyle w:val="ListBullet"/>
        <w:spacing w:after="40"/>
      </w:pPr>
      <w:r>
        <w:t>Job links to a questionnaire version; question/answer relationships preserve integrity.</w:t>
      </w:r>
    </w:p>
    <w:p>
      <w:pPr>
        <w:pStyle w:val="ListBullet"/>
        <w:spacing w:after="40"/>
      </w:pPr>
      <w:r>
        <w:t>Recruiter scope is limited by organisation; candidate blocking hides affected profiles.</w:t>
      </w:r>
    </w:p>
    <w:p>
      <w:pPr>
        <w:pStyle w:val="ListBullet"/>
        <w:spacing w:after="40"/>
      </w:pPr>
      <w:r>
        <w:t>Consultant sourcing requires an open job and accepted employer request; shortlist provenance remains traceable.</w:t>
      </w:r>
    </w:p>
    <w:p>
      <w:pPr>
        <w:pStyle w:val="ListBullet"/>
        <w:spacing w:after="40"/>
      </w:pPr>
      <w:r>
        <w:t>Gig availability and contract capacity cannot be double-booked or exceeded.</w:t>
      </w:r>
    </w:p>
    <w:p>
      <w:pPr>
        <w:pStyle w:val="ListBullet"/>
        <w:spacing w:after="40"/>
      </w:pPr>
      <w:r>
        <w:t>Profile-download records link to one funding source; ledger records are not edited in place.</w:t>
      </w:r>
    </w:p>
    <w:p>
      <w:pPr>
        <w:pStyle w:val="ListBullet"/>
        <w:spacing w:after="40"/>
      </w:pPr>
      <w:r>
        <w:t>Notification delivery respects consent, suppression and quiet-hours controls where applicable.</w:t>
      </w:r>
    </w:p>
    <w:p>
      <w:pPr>
        <w:pStyle w:val="ListBullet"/>
        <w:spacing w:after="40"/>
      </w:pPr>
      <w:r>
        <w:t>Analytics reconciles to operational records and masks small groups where configured.</w:t>
      </w:r>
    </w:p>
    <w:p>
      <w:pPr>
        <w:pStyle w:val="ListBullet"/>
        <w:spacing w:after="40"/>
      </w:pPr>
      <w:r>
        <w:t>Clean setup, regression tests and backup restore generate evidence for review.</w:t>
      </w:r>
    </w:p>
    <w:p>
      <w:pPr>
        <w:pStyle w:val="Heading1"/>
      </w:pPr>
      <w:r>
        <w:t>6. Discovery decisions and assumptions</w:t>
      </w:r>
    </w:p>
    <w:p>
      <w:pPr>
        <w:pStyle w:val="ListBullet"/>
        <w:spacing w:after="40"/>
      </w:pPr>
      <w:r>
        <w:t>Gig is a separate subsystem because worker availability, proposals, contracts, milestones, disputes and external fulfilment differ from standard hiring.</w:t>
      </w:r>
    </w:p>
    <w:p>
      <w:pPr>
        <w:pStyle w:val="ListBullet"/>
        <w:spacing w:after="40"/>
      </w:pPr>
      <w:r>
        <w:t>Recruitment remains the shared job/application pipeline with versioned questionnaires and status history.</w:t>
      </w:r>
    </w:p>
    <w:p>
      <w:pPr>
        <w:pStyle w:val="ListBullet"/>
        <w:spacing w:after="40"/>
      </w:pPr>
      <w:r>
        <w:t>Consultant sourcing is separate but links to requisitions and candidate shortlist provenance.</w:t>
      </w:r>
    </w:p>
    <w:p>
      <w:pPr>
        <w:pStyle w:val="ListBullet"/>
        <w:spacing w:after="40"/>
      </w:pPr>
      <w:r>
        <w:t>Licensing and billing are separate connected domains; analytics is a star-schema layer rather than a replacement for transactions.</w:t>
      </w:r>
    </w:p>
    <w:p>
      <w:pPr>
        <w:pStyle w:val="ListBullet"/>
        <w:spacing w:after="40"/>
      </w:pPr>
      <w:r>
        <w:t>Payment, KYC, messaging, legacy sync and gig fulfilment are external boundaries; Talentra stores references/state/audit.</w:t>
      </w:r>
    </w:p>
    <w:p>
      <w:pPr>
        <w:pStyle w:val="ListBullet"/>
        <w:spacing w:after="40"/>
      </w:pPr>
      <w:r>
        <w:t>The repository is database-focused; it does not alone prove a running frontend or live third-party integrations.</w:t>
      </w:r>
    </w:p>
    <w:p>
      <w:pPr>
        <w:pStyle w:val="Heading1"/>
      </w:pPr>
      <w:r>
        <w:t>Sources</w:t>
      </w:r>
    </w:p>
    <w:p>
      <w:r>
        <w:t>Hackathon Docket Sections 2–6; repository https://github.com/crazyluhsnap/talentra-database-design; docs/competitive-coverage-benchmark.md; Phase 1–4 architecture specifications; Phase 5 security/performance dossiers.</w:t>
      </w:r>
    </w:p>
    <w:sectPr w:rsidR="00FC693F" w:rsidRPr="0006063C" w:rsidSect="00034616">
      <w:pgSz w:w="12240" w:h="15840"/>
      <w:pgMar w:top="979" w:right="1080" w:bottom="979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9355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67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tos" w:hAnsi="Aptos"/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