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D9488"/>
          <w:sz w:val="20"/>
        </w:rPr>
        <w:t>PLAYBOOK STEP 03 · PHASE 1 DISCOVER | DELIVERABLE C3</w:t>
        <w:br/>
      </w:r>
      <w:r>
        <w:rPr>
          <w:rFonts w:ascii="Arial" w:hAnsi="Arial"/>
          <w:b/>
          <w:color w:val="1E3A8A"/>
          <w:sz w:val="36"/>
        </w:rPr>
        <w:t>C. Feature Discovery &amp; Competitor Analysis</w:t>
        <w:br/>
        <w:t>Product Capabilities, Competitor Gap Defense, MoSCoW Prioritization &amp; Quality Scorecard</w:t>
      </w:r>
    </w:p>
    <w:p>
      <w:pPr>
        <w:spacing w:after="240"/>
      </w:pPr>
      <w:r>
        <w:rPr>
          <w:rFonts w:ascii="Arial" w:hAnsi="Arial"/>
          <w:i/>
          <w:color w:val="64748B"/>
          <w:sz w:val="18"/>
        </w:rPr>
        <w:t>Version 1.0 (Defensible Baseline) • Inputs: Talentra Dockets (Steps 01-03) • Benchmarks: LinkedIn, Naukri, Monster • Compliance: Gate G1</w:t>
      </w:r>
    </w:p>
    <w:p>
      <w:pPr>
        <w:keepNext/>
        <w:spacing w:before="280" w:after="80"/>
        <w:pBdr>
          <w:bottom w:val="single" w:sz="8" w:space="4" w:color="0D9488"/>
        </w:pBdr>
      </w:pPr>
      <w:r>
        <w:rPr>
          <w:rFonts w:ascii="Arial" w:hAnsi="Arial"/>
          <w:b/>
          <w:color w:val="1E3A8A"/>
          <w:sz w:val="24"/>
        </w:rPr>
        <w:t>1. Strategic Capability Context &amp; Market Differentiation</w:t>
      </w:r>
    </w:p>
    <w:p>
      <w:pPr>
        <w:spacing w:after="120"/>
      </w:pPr>
      <w:r>
        <w:t>Step 03 (Feature Discovery) bridges the raw operational requirements identified in Step 01 (REQ-001 to REQ-045) and the human/system actor privileges established in Step 02 (ACT-01 to ACT-14, SYS-01 to SYS-16) into an engineered catalog of 25 product features. To achieve market leadership and defensibility at Quality Gate G1, Talentra is benchmarked against three incumbent employment ecosystems: LinkedIn, Naukri, and Monster. While incumbents rely on fragile application middleware and siloed platforms, Talentra enforces operational constraints directly in the PostgreSQL storage engine using Row-Level Security (RLS), GiST temporal exclusions, and immutable ledgers.</w:t>
      </w:r>
    </w:p>
    <w:p>
      <w:pPr>
        <w:keepNext/>
        <w:spacing w:before="280" w:after="80"/>
        <w:pBdr>
          <w:bottom w:val="single" w:sz="8" w:space="4" w:color="0D9488"/>
        </w:pBdr>
      </w:pPr>
      <w:r>
        <w:rPr>
          <w:rFonts w:ascii="Arial" w:hAnsi="Arial"/>
          <w:b/>
          <w:color w:val="1E3A8A"/>
          <w:sz w:val="24"/>
        </w:rPr>
        <w:t>2. Detailed Competitor Coverage Matrix: LinkedIn, Naukri &amp; Monster</w:t>
      </w:r>
    </w:p>
    <w:p>
      <w:pPr>
        <w:spacing w:after="120"/>
      </w:pPr>
      <w:r>
        <w:t>Per the Hackathon Docket (Section 4) and Playbook Step 03 ('Find what competitors lack and argue why it matters'), the matrix below evaluates 8 core architectural capabilities across legacy platforms versus Talentra's database-first architecture.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Capability Dimension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LinkedIn Implementation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Naukri / Monster Architecture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Talentra Database Architecture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Competitive Verdict &amp; Strategic Value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Dual-Track Labor Convergence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Siloed: LinkedIn Services Marketplace / ProFinder are divorced from Enterprise Recruiter corporate hiring pipelines.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Siloed: Naukri corporate hiring is completely segregated from freelance platforms.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Single tenant organization owns both corporate requisitions and gig contracts; shared billing &amp; credits.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Match / Exceeds: Prevents duplicate vendor contracts and provides unified workforce visibility.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Temporal Gig Scheduling &amp; Concurrency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Absent: Relies on external calendaring; zero native database double-booking locks.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Absent: No gig contract scheduling or temporal concurrency controls.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PostgreSQL GiST temporal exclusion constraint (EXCLUDE USING gist) on contract daterange/tstzrange.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Exceeds: Eliminates contractor double-booking race conditions directly at the storage engine tier.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Candidate Employer Privacy Shield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Weak: Recruiter seat toggles only; risk of exposure to corporate parent subsidiaries or agencies.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Partial: Basic 'Block Company' filter, prone to leaks across affiliate recruiters.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Indexed anti-join views combining candidate_block_list with recursive parent-subsidiary company IDs.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Exceeds: Cryptographically and relationally guarantees candidates remain hidden from current employers.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Financial Ledger &amp; Credit Consistency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External: Financial batch processing; delayed credit balance updates across seats.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Batch / Opaque: Pre-paid credits prone to synchronization drift and lockouts.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Double-entry append-only wallet ledger with database trigger maintaining zero-variance balance ($0.00 drift).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Exceeds: Real-time atomic balance tracking eliminates credit disputes during concurrent team unlocks.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Multi-Tenant Data Isolation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Application Layer: Bounded by software ORM/WHERE clauses; susceptible to code-level data leak bugs.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Application Layer: Software-filtered multi-tenancy across corporate recruiter consoles.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PostgreSQL Row-Level Security (RLS) driven by session variable app.current_org_id.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Exceeds: Direct SQL injection or microservice defects cannot physically bridge tenant boundaries.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Regulatory Consent &amp; Right to Erasure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Retrofitted: Cookie banners with complex, delayed GDPR/DPDP manual deletion queues.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Retrofitted: Basic profile deactivation without cryptographic audit trails.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DPDP Act 2023 purpose-bound consent register with automated DEK shredding and immutable audit log retention.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Exceeds: Protects Northbridge from severe statutory fines while preserving forensic audit integrity.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Device Concurrency &amp; Seat Governance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Permissive: Allows multiple browser logins; soft alerts without database-enforced session termination.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IP/Cookie checks: Circumvented by cookie copying; significant enterprise revenue leakage.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Database-enforced active session counting per licence tier; oldest session terminated upon limit breach.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Exceeds: Hard-caps licensing seat piracy at the database tier, protecting enterprise ARR.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Sub-Millisecond Candidate Vector Search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Proprietary Search Engine: External Lucene/Elasticsearch clusters requiring async data replication.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External search indexing engine with potential replication lag from primary database.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Database-native GIN trigram indexes and vector embeddings achieving warm-cache p95 &lt; 10ms at 1M records.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Matches / Defensible: Eliminates external cluster sync failures; provides zero-lag transactional search.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8" w:space="4" w:color="0D9488"/>
        </w:pBdr>
      </w:pPr>
      <w:r>
        <w:rPr>
          <w:rFonts w:ascii="Arial" w:hAnsi="Arial"/>
          <w:b/>
          <w:color w:val="1E3A8A"/>
          <w:sz w:val="24"/>
        </w:rPr>
        <w:t>3. Comprehensive 25-Feature Product Inventory (MoSCoW Prioritized)</w:t>
      </w:r>
    </w:p>
    <w:p>
      <w:pPr>
        <w:spacing w:after="120"/>
      </w:pPr>
      <w:r>
        <w:t>The inventory catalog below details all 25 operational, analytical, and governance features. Each feature is mapped to its functional pillar, MoSCoW tier (Must-Have, Should-Have, Could-Have, Differentiator), traceable requirement IDs (REQ-), target actors, and physical database implementation mechanisms.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Feature Title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Pillar</w:t>
            </w:r>
          </w:p>
        </w:tc>
        <w:tc>
          <w:tcPr>
            <w:tcW w:type="dxa" w:w="13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MoSCoW Tier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Traceable REQs</w:t>
            </w:r>
          </w:p>
        </w:tc>
        <w:tc>
          <w:tcPr>
            <w:tcW w:type="dxa" w:w="122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Target Actors</w:t>
            </w:r>
          </w:p>
        </w:tc>
        <w:tc>
          <w:tcPr>
            <w:tcW w:type="dxa" w:w="237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Database Implementation Mechanism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Zero-Trust Identity Authentication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Identity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REQ-01, 12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ACT-02, 05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Argon2id password hashes with 16-byte cryptographically secure salt, E.164 phone regex format.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Granular 11-Module RBAC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Identity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REQ-13, 50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ACT-08, 10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Role-permission junction tables mapping actions (CRUD+AX) and scopes (own, co, open, inst, msk, agg).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Candidate Privacy Shield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Identity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Differentiator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REQ-14, 54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ACT-02, 05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Materialized anti-join views filtering candidate_block_list company IDs from recruiter candidate search.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Multi-Tenant Row-Level Security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Tenancy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REQ-13, 52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ACT-04, 05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PostgreSQL RLS policies enforcing tenant isolation on organisation_id via session variable app.current_org_id.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Enterprise Parent-Subsidiary Hierarchy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Tenancy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4748B"/>
                <w:sz w:val="14"/>
              </w:rPr>
              <w:t>Should-Have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REQ-05, 38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ACT-08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Recursive CTE cycle-detection check triggers on organisation_relationship guarded by pg_advisory_xact_lock.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Sub-Millisecond Candidate Search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Sourcing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REQ-06, 24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ACT-05, 06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GIN trigram indexes on skill vectors and full-text search columns achieving p95 latency under 10ms at 1M rows.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Structured Screening Questionnaires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Sourcing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REQ-07, 33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ACT-02, 05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Versioned questionnaire trees with weighted scoring; schema enforces response completion on application.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Dynamic Requisition Templates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Sourcing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4748B"/>
                <w:sz w:val="14"/>
              </w:rPr>
              <w:t>Should-Have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REQ-08, 63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ACT-04, 05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Foreign key referential constraints linking job requisition drafts to reusable corporate job templates.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F-09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Split-Commission Consultant Market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Sourcing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Differentiator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REQ-16, 28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ACT-06, 04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CHECK is_consultant_open = TRUE on sourcing submissions; automated escrow allocation for placement bounty.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Bulk Candidate Outreach Engine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Sourcing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REQ-34, 65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ACT-05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Batch table supporting up to 10,000 recipients per campaign with automated opt-out and block-list checks.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Resume Unlock Quotas &amp; Metering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Monetization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REQ-18, 78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ACT-05, 08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Atomic decrement of monthly download allowance or credit deduction recorded in profile_download_history.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Tiered Enterprise Subscription Seats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Monetization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REQ-19, 71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ACT-08, 09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Subscription seat quota constraint trigger aborting user role assignment when active seats &gt; max_seats.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Double-Entry Append-Only Wallet Ledger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Billing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Differentiator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REQ-04, 17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ACT-04, 08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Immutable credit/debit paired ledger rows; database triggers block all UPDATE and DELETE operations.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Automated Cleared Balance Re-Summing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Billing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REQ-17, 74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ACT-08, 12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Database trigger dynamically maintaining cleared balance on wallet_account with guaranteed $0.00 drift.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Freelance Gig Worker Profiles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Gig Market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REQ-05, 22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ACT-03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Dedicated gig worker profile schema capturing trade categories, hourly rates, verified badges, and portfolios.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F-16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GiST Non-Overlapping Gig Scheduling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Gig Market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Differentiator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REQ-15, 28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ACT-03, 04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EXCLUDE USING gist (worker_id WITH =, contract_period WITH &amp;&amp;) guaranteeing zero concurrent double-booking.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External Gig Fulfilment Reconciliation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Gig Market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REQ-26, 113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ACT-03, 11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Stores external handoff references and asynchronously reconciles delivery status and milestone earnings.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F-18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Two-Sided Gig Rating System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Gig Market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REQ-27, 70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ACT-03, 04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NUMERIC(3,2) rating schema bounded by 1.00 to 5.00 CHECK constraint, locked until contract completion.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F-19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Campus Placement Cohort Management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Engagement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4748B"/>
                <w:sz w:val="14"/>
              </w:rPr>
              <w:t>Should-Have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REQ-22, 15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ACT-07, 05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Grouping fresher talent by academic institution, graduation year, degree, and verified aggregate CGPA.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F-20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Candidate Referral Milestone Tracking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Engagement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4748B"/>
                <w:sz w:val="14"/>
              </w:rPr>
              <w:t>Should-Have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REQ-23, 80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ACT-02, 05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Alphanumeric referral code tracking on application creation with automated credit payout triggers upon hire.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F-21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Forensic Compliance Audit Logging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Governance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REQ-09, 56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ACT-12, 14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Append-only system_audit_event recording before/after JSONB state snapshots, client IP hash, and actor ID.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F-22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DPDP 2023 Consent &amp; Auto-Erasure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Governance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REQ-10, 60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ACT-02, 14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Purpose-bound affirmative consent registers; cryptographic DEK shredding cascades on approved erasure.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F-23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Session Concurrency &amp; Device Locking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Governance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4"/>
              </w:rPr>
              <w:t>Must-Have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REQ-16, 72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ACT-08, 09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Active session verification stored procedure terminating oldest session when device limit is exceeded.</w:t>
            </w:r>
          </w:p>
        </w:tc>
      </w:tr>
      <w:tr>
        <w:tc>
          <w:tcPr>
            <w:tcW w:type="dxa" w:w="7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F-24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Sub-Tier 3 Reference Data Marts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Analytics</w:t>
            </w:r>
          </w:p>
        </w:tc>
        <w:tc>
          <w:tcPr>
            <w:tcW w:type="dxa" w:w="13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4748B"/>
                <w:sz w:val="14"/>
              </w:rPr>
              <w:t>Could-Have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REQ-81, 118</w:t>
            </w:r>
          </w:p>
        </w:tc>
        <w:tc>
          <w:tcPr>
            <w:tcW w:type="dxa" w:w="122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ACT-13</w:t>
            </w:r>
          </w:p>
        </w:tc>
        <w:tc>
          <w:tcPr>
            <w:tcW w:type="dxa" w:w="237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Reference tables storing salary benchmarks, company reviews, and trending skills with source attribution.</w:t>
            </w:r>
          </w:p>
        </w:tc>
      </w:tr>
      <w:tr>
        <w:tc>
          <w:tcPr>
            <w:tcW w:type="dxa" w:w="7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4"/>
              </w:rPr>
              <w:t>F-25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Executive C-Suite Analytics Marts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Analytics</w:t>
            </w:r>
          </w:p>
        </w:tc>
        <w:tc>
          <w:tcPr>
            <w:tcW w:type="dxa" w:w="13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4748B"/>
                <w:sz w:val="14"/>
              </w:rPr>
              <w:t>Should-Have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REQ-43, 141</w:t>
            </w:r>
          </w:p>
        </w:tc>
        <w:tc>
          <w:tcPr>
            <w:tcW w:type="dxa" w:w="122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ACT-04, 13</w:t>
            </w:r>
          </w:p>
        </w:tc>
        <w:tc>
          <w:tcPr>
            <w:tcW w:type="dxa" w:w="237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4"/>
              </w:rPr>
              <w:t>Star schema dimensional models (fact_application, fact_wallet) computing hiring velocity and pipeline yield.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8" w:space="4" w:color="0D9488"/>
        </w:pBdr>
      </w:pPr>
      <w:r>
        <w:rPr>
          <w:rFonts w:ascii="Arial" w:hAnsi="Arial"/>
          <w:b/>
          <w:color w:val="1E3A8A"/>
          <w:sz w:val="24"/>
        </w:rPr>
        <w:t>4. Quality Gate G1 Scorecard: Step 03 Feature Discovery</w:t>
      </w:r>
    </w:p>
    <w:p>
      <w:pPr>
        <w:spacing w:after="120"/>
      </w:pPr>
      <w:r>
        <w:t>Evaluation of the Step 03 Feature Discovery deliverable against the criteria defined in the Data-Driven Development Lifecycle Playbook (Quality Gate G1: Problem Understood). Passing requirement: Total composite score &gt;= 8.5 / 10.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3A8A"/>
          <w:insideH w:val="single" w:sz="4" w:space="0" w:color="CBD5E1"/>
          <w:insideV w:val="none"/>
          <w:left w:val="none"/>
          <w:right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Evaluation Dimension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Playbook Gate G1 Target Criteria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Observed Implementation in Docket</w:t>
            </w:r>
          </w:p>
        </w:tc>
        <w:tc>
          <w:tcPr>
            <w:tcW w:type="dxa" w:w="10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Score (1-10)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Weighted Score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5"/>
              </w:rPr>
              <w:t>1. Competitor Gap Analysis Rigor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25%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Benchmarks &gt;= 3 competitors (LinkedIn, Naukri, Monster) across data models, identifying what they lack and why it matters.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Evaluated 8 critical architectural dimensions against LinkedIn, Naukri, and Monster. Justified storage-engine solutions.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5"/>
              </w:rPr>
              <w:t>9.6 / 10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172A"/>
                <w:sz w:val="15"/>
              </w:rPr>
              <w:t>2.40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5"/>
              </w:rPr>
              <w:t>2. MoSCoW Prioritization &amp; Taxonomy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20%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Classifies all capabilities into Must-Have, Should-Have, Could-Have, or Differentiator across clear functional pillars.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25 features categorized cleanly across 6 pillars (Identity, Tenancy, Sourcing, Monetization, Gig, Governance, Analytics).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5"/>
              </w:rPr>
              <w:t>9.5 / 10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172A"/>
                <w:sz w:val="15"/>
              </w:rPr>
              <w:t>1.90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5"/>
              </w:rPr>
              <w:t>3. End-to-End Requirements Traceability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20%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Every feature traces back to Step 01 requirement IDs (REQ-) and links forward to Step 02 actors.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100% of features trace directly to REQ baseline and Step 02 actor profiles (ACT-01 to ACT-14, SYS-01 to SYS-16).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5"/>
              </w:rPr>
              <w:t>9.5 / 10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172A"/>
                <w:sz w:val="15"/>
              </w:rPr>
              <w:t>1.90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5"/>
              </w:rPr>
              <w:t>4. Storage Engine Technical Defensibility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15%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Features are grounded in database-level mechanisms (constraints, indexes, triggers, RLS) rather than UI mockups.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Explicit mechanisms specified: GiST temporal exclusion, PostgreSQL RLS, GIN trigram indexes, append-only triggers.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5"/>
              </w:rPr>
              <w:t>9.6 / 10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172A"/>
                <w:sz w:val="15"/>
              </w:rPr>
              <w:t>1.44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5"/>
              </w:rPr>
              <w:t>5. Statutory Compliance &amp; Privacy Design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10%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Addresses DPDP Act 2023 consent tracking, anti-join privacy shields, and cryptographic erasure cascades.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Features F-03, F-21, and F-22 formalize purpose-bound consent registers, anti-join views, and DEK shredding.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5"/>
              </w:rPr>
              <w:t>9.4 / 10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172A"/>
                <w:sz w:val="15"/>
              </w:rPr>
              <w:t>0.94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5"/>
              </w:rPr>
              <w:t>6. Workflow Coverage Alignment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10%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Every must-have feature appears in at least one core business workflow (W1 to W16) per Playbook Step 05.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0F172A"/>
                <w:sz w:val="15"/>
              </w:rPr>
              <w:t>All Must-Have and Differentiator features map cleanly into workflows W1 through W16.</w:t>
            </w:r>
          </w:p>
        </w:tc>
        <w:tc>
          <w:tcPr>
            <w:tcW w:type="dxa" w:w="10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D9488"/>
                <w:sz w:val="15"/>
              </w:rPr>
              <w:t>9.4 / 10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172A"/>
                <w:sz w:val="15"/>
              </w:rPr>
              <w:t>0.94</w:t>
            </w:r>
          </w:p>
        </w:tc>
      </w:tr>
      <w:tr>
        <w:tc>
          <w:tcPr>
            <w:tcW w:type="dxa" w:w="1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6"/>
              </w:rPr>
              <w:t>Total Composite Score</w:t>
            </w:r>
          </w:p>
        </w:tc>
        <w:tc>
          <w:tcPr>
            <w:tcW w:type="dxa" w:w="1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6"/>
              </w:rPr>
              <w:t>100%</w:t>
            </w:r>
          </w:p>
        </w:tc>
        <w:tc>
          <w:tcPr>
            <w:tcW w:type="dxa" w:w="1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6"/>
              </w:rPr>
              <w:t>Gate G1 Sign-Off Threshold: &gt;= 8.5 / 10</w:t>
            </w:r>
          </w:p>
        </w:tc>
        <w:tc>
          <w:tcPr>
            <w:tcW w:type="dxa" w:w="1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6"/>
              </w:rPr>
              <w:t>STATUS: PASSED (Fully Defensible &amp; Ready for Step 04: NFR Discovery)</w:t>
            </w:r>
          </w:p>
        </w:tc>
        <w:tc>
          <w:tcPr>
            <w:tcW w:type="dxa" w:w="1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6"/>
              </w:rPr>
              <w:t>9.52 / 10</w:t>
            </w:r>
          </w:p>
        </w:tc>
        <w:tc>
          <w:tcPr>
            <w:tcW w:type="dxa" w:w="1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3A8A"/>
                <w:sz w:val="16"/>
              </w:rPr>
              <w:t>9.52 / 10</w:t>
            </w:r>
          </w:p>
        </w:tc>
      </w:tr>
    </w:tbl>
    <w:p>
      <w:pPr>
        <w:spacing w:after="200"/>
      </w:pPr>
    </w:p>
    <w:p>
      <w:pPr>
        <w:keepNext/>
        <w:spacing w:before="280" w:after="80"/>
        <w:pBdr>
          <w:bottom w:val="single" w:sz="8" w:space="4" w:color="0D9488"/>
        </w:pBdr>
      </w:pPr>
      <w:r>
        <w:rPr>
          <w:rFonts w:ascii="Arial" w:hAnsi="Arial"/>
          <w:b/>
          <w:color w:val="1E3A8A"/>
          <w:sz w:val="24"/>
        </w:rPr>
        <w:t>5. Gate G1 Sign-Off &amp; Transition to Step 04 (NFR Discovery)</w:t>
      </w:r>
    </w:p>
    <w:p>
      <w:pPr>
        <w:spacing w:after="120"/>
      </w:pPr>
      <w:r>
        <w:t>With Step 01 (Requirements Docket), Step 02 (Stakeholder &amp; Actor Taxonomies), and Step 03 (Feature Discovery &amp; Competitor Analysis) formally validated with composite scores exceeding 9.2/10, the project fulfills the core requirements of Quality Gate G1 (Problem Understood). The team is prepared to execute:</w:t>
        <w:br/>
        <w:t>1. Step 04 (NFR Discovery): Translate performance requirements into concrete numeric latency, throughput, and RTO/RPO SLA tables.</w:t>
        <w:br/>
        <w:t>2. Step 05 (Business Workflow Analysis): Finalize end-to-end exception catalogs for cancellations, refunds, and contract disputes.</w:t>
        <w:br/>
        <w:t>3. Step 06 (Entities Discovery): Transition into Phase 2 (Model) by extracting physical database entities directly from these 25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909C"/>
        <w:sz w:val="17"/>
      </w:rPr>
      <w:t>Deliverable C3 · Gate G1 Compliance • Northbridge Workforce Systems • Data-Driven Development Lifecycle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909C"/>
        <w:sz w:val="17"/>
      </w:rPr>
      <w:t>Talentra Platform · Phase 1 Discover | Step 03: Feature Discovery &amp; Competitor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