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3366"/>
          <w:sz w:val="48"/>
        </w:rPr>
        <w:t>Talentra Enterprise Workforce Platform</w:t>
      </w:r>
    </w:p>
    <w:p>
      <w:pPr>
        <w:spacing w:before="0" w:after="160"/>
      </w:pPr>
      <w:r>
        <w:rPr>
          <w:rFonts w:ascii="Calibri" w:hAnsi="Calibri"/>
          <w:b/>
          <w:color w:val="1F4E79"/>
          <w:sz w:val="24"/>
        </w:rPr>
        <w:t>Deliverable D3 — Non-Functional Requirements (NFR) Discovery: Measurable Quality Targets, Volumetric Derivation, Statutory Compliance &amp; Quality Gate G1 Scorecard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6" w:space="0" w:color="B0C4DE"/>
          <w:insideH w:val="single" w:sz="4" w:space="0" w:color="B0C4DE"/>
          <w:insideV w:val="single" w:sz="4" w:space="0" w:color="B0C4D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5040"/>
            <w:shd w:fill="F2F6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b/>
                <w:color w:val="003366"/>
                <w:sz w:val="18"/>
              </w:rPr>
              <w:t xml:space="preserve">Document Reference: </w:t>
            </w:r>
            <w:r>
              <w:rPr>
                <w:color w:val="262626"/>
                <w:sz w:val="18"/>
              </w:rPr>
              <w:t>TAL-NFR-0004 | Deliverable D3</w:t>
            </w:r>
          </w:p>
        </w:tc>
        <w:tc>
          <w:tcPr>
            <w:tcW w:type="dxa" w:w="5040"/>
            <w:shd w:fill="F2F6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b/>
                <w:color w:val="003366"/>
                <w:sz w:val="18"/>
              </w:rPr>
              <w:t xml:space="preserve">Phase / Stage: </w:t>
            </w:r>
            <w:r>
              <w:rPr>
                <w:color w:val="262626"/>
                <w:sz w:val="18"/>
              </w:rPr>
              <w:t>Phase 1 Discover (Gate G1 Frozen Baseline)</w:t>
            </w:r>
          </w:p>
        </w:tc>
      </w:tr>
      <w:tr>
        <w:tc>
          <w:tcPr>
            <w:tcW w:type="dxa" w:w="50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b/>
                <w:color w:val="003366"/>
                <w:sz w:val="18"/>
              </w:rPr>
              <w:t xml:space="preserve">Target Engine &amp; Scale: </w:t>
            </w:r>
            <w:r>
              <w:rPr>
                <w:color w:val="262626"/>
                <w:sz w:val="18"/>
              </w:rPr>
              <w:t>PostgreSQL 16 | 10M–50M Profiles, 100M Apps</w:t>
            </w:r>
          </w:p>
        </w:tc>
        <w:tc>
          <w:tcPr>
            <w:tcW w:type="dxa" w:w="50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b/>
                <w:color w:val="003366"/>
                <w:sz w:val="18"/>
              </w:rPr>
              <w:t xml:space="preserve">Storage Hardware: </w:t>
            </w:r>
            <w:r>
              <w:rPr>
                <w:color w:val="262626"/>
                <w:sz w:val="18"/>
              </w:rPr>
              <w:t>Tiered NVMe Flash SSDs (650,000 Random IOPS)</w:t>
            </w:r>
          </w:p>
        </w:tc>
      </w:tr>
      <w:tr>
        <w:tc>
          <w:tcPr>
            <w:tcW w:type="dxa" w:w="5040"/>
            <w:shd w:fill="F2F6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b/>
                <w:color w:val="003366"/>
                <w:sz w:val="18"/>
              </w:rPr>
              <w:t xml:space="preserve">Gate G1 Audit Score: </w:t>
            </w:r>
            <w:r>
              <w:rPr>
                <w:b/>
                <w:color w:val="006633"/>
                <w:sz w:val="18"/>
              </w:rPr>
              <w:t>9.59 / 10 — PASSED (Exit Requirement: &gt;= 8.5)</w:t>
            </w:r>
          </w:p>
        </w:tc>
        <w:tc>
          <w:tcPr>
            <w:tcW w:type="dxa" w:w="5040"/>
            <w:shd w:fill="F2F6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b/>
                <w:color w:val="003366"/>
                <w:sz w:val="18"/>
              </w:rPr>
              <w:t xml:space="preserve">Review Board: </w:t>
            </w:r>
            <w:r>
              <w:rPr>
                <w:color w:val="262626"/>
                <w:sz w:val="18"/>
              </w:rPr>
              <w:t>Core Performance &amp; Infrastructure Review Board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1. Executive Scope &amp; Mathematical Philosophy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0"/>
        </w:rPr>
        <w:t>Non-functional requirements (NFRs) define the operational quality, scalability envelope, security boundaries, and statutory survival of the Talentra Enterprise Workforce Platform. In accordance with Phase 1 Discover principles ('Understand Before You Model'), all quality targets in this docket are derived directly from mathematical workload models, NVMe storage physics, and statutory mandates—not subjective guesses.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0"/>
        </w:rPr>
        <w:t>This deliverable establishes the binding non-functional quality baseline under Phase 1 Discover (Gate G1). By replacing vague adjectives with concrete mathematical formulas, allocating user-perceived latency budgets across query plans, and formalizing a master 15-NFR register, this docket ensures that engineering teams can systematically test and verify platform performance in subsequent phases.</w:t>
      </w:r>
    </w:p>
    <w:p>
      <w:pPr>
        <w:pStyle w:val="Heading1"/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2. Database Engine &amp; NFR Performance Architecture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0"/>
        </w:rPr>
        <w:t>The non-functional operational envelope is organized into four interconnected database engine performance tiers optimized for PostgreSQL 16 on enterprise NVMe flash storage: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D0D7DE"/>
              <w:left w:val="single" w:sz="18" w:color="1F4E79"/>
              <w:bottom w:val="single" w:sz="6" w:color="D0D7DE"/>
              <w:right w:val="single" w:sz="6" w:color="D0D7DE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12529"/>
                <w:sz w:val="16"/>
              </w:rPr>
              <w:t>┌─────────────────────────────────────────────────────────┐</w:t>
              <w:br/>
              <w:t>│    Talentra Database Engine &amp; NFR Performance Tiers      │</w:t>
              <w:br/>
              <w:t>│           (PostgreSQL 16 NVMe Flash Architecture)       │</w:t>
              <w:br/>
              <w:t>└────────────────────────────┬────────────────────────────┘</w:t>
              <w:br/>
              <w:t xml:space="preserve">                             │</w:t>
              <w:br/>
              <w:t xml:space="preserve">     ┌───────────────────────┼───────────────────────┬───────────────────────┐</w:t>
              <w:br/>
              <w:t xml:space="preserve">     ▼                       ▼                       ▼                       ▼</w:t>
              <w:br/>
              <w:t>┌──────────────────┐   ┌──────────────────┐    ┌──────────────────┐    ┌──────────────────┐</w:t>
              <w:br/>
              <w:t>│ Storage Capacity │   │  Query Execution │    │ Concurrency &amp;    │    │ Statutory Privacy│</w:t>
              <w:br/>
              <w:t>│ &amp; Physical Heap  │   │  SLA Profiles    │    │ Data Integrity   │    │ &amp; Audit Guards   │</w:t>
              <w:br/>
              <w:t>└────────┬─────────┘   └────────┬─────────┘    └────────┬─────────┘    └────────┬─────────┘</w:t>
              <w:br/>
              <w:t xml:space="preserve">         │                      │                       │                       │</w:t>
              <w:br/>
              <w:t xml:space="preserve"> ┌───────┴───────┐      ┌───────┴───────┐       ┌───────┴───────┐       ┌───────┴───────┐</w:t>
              <w:br/>
              <w:t xml:space="preserve"> │ Candidate Heap│      │ Q1: Talent    │       │ NFR-11: GiST  │       │ DPDP Sec 6/8  │</w:t>
              <w:br/>
              <w:t xml:space="preserve"> │ 4KB / row;    │      │ Search (p95   │       │ Non-Overlap   │       │ Purpose Code &amp;│</w:t>
              <w:br/>
              <w:t xml:space="preserve"> │ 1M seed: 4 GB │      │ &lt; 10.0 ms)    │       │ 0 Double-Books│       │ Auto-Erasure  │</w:t>
              <w:br/>
              <w:t xml:space="preserve"> ├───────────────┤      ├───────────────┤       ├───────────────┤       ├───────────────┤</w:t>
              <w:br/>
              <w:t xml:space="preserve"> │ GIN Trigram   │      │ Q3: Requisit. │       │ NFR-12: Zero  │       │ GDPR Art 17/32│</w:t>
              <w:br/>
              <w:t xml:space="preserve"> │ Skills Index: │      │ Insert (p95   │       │ Device Cap    │       │ AES-256-GCM &amp; │</w:t>
              <w:br/>
              <w:t xml:space="preserve"> │ 2.8 GB Flash  │      │ &lt; 5.0 ms)     │       │ Seat Violat.  │       │ Key Shredding │</w:t>
              <w:br/>
              <w:t xml:space="preserve"> ├───────────────┤      ├───────────────┤       ├───────────────┤       ├───────────────┤</w:t>
              <w:br/>
              <w:t xml:space="preserve"> │ Monthly App   │      │ Q5: Wallet    │       │ NFR-13: Double│       │ ISO 27001     │</w:t>
              <w:br/>
              <w:t xml:space="preserve"> │ Partitions:   │      │ Posting (p95  │       │ Entry Ledger  │       │ Immutable JSON│</w:t>
              <w:br/>
              <w:t xml:space="preserve"> │ 5M -&gt; 100M    │      │ &lt; 8.0 ms)     │       │ $0.00 Variance│       │ Append Trigger│</w:t>
              <w:br/>
              <w:t xml:space="preserve"> └───────────────┘      └───────────────┘       └───────────────┘       └───────────────┘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3. Mathematical Volumetric Derivation &amp; Capacity Baseline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1F4E79"/>
          <w:sz w:val="26"/>
        </w:rPr>
        <w:t>3.1 Atomic Record Geometry Derivation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0"/>
        </w:rPr>
        <w:t>To prevent arbitrary hardware over-provisioning or under-sizing, storage footprint calculations are derived from byte-level row serialization: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D0D7DE"/>
              <w:left w:val="single" w:sz="18" w:color="1F4E79"/>
              <w:bottom w:val="single" w:sz="6" w:color="D0D7DE"/>
              <w:right w:val="single" w:sz="6" w:color="D0D7DE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12529"/>
                <w:sz w:val="16"/>
              </w:rPr>
              <w:t>[Candidate Profile Record Geometry]</w:t>
              <w:br/>
              <w:t xml:space="preserve">  Base Profile Header &amp; Identifiers : 512 Bytes</w:t>
              <w:br/>
              <w:t xml:space="preserve">  Skills Array (JSONB Trigrams)     : 1,200 Bytes</w:t>
              <w:br/>
              <w:t xml:space="preserve">  Full-Text Search Vectors          : 2,048 Bytes</w:t>
              <w:br/>
              <w:t xml:space="preserve">  Contact Details &amp; Verification    : 288 Bytes</w:t>
              <w:br/>
              <w:t xml:space="preserve">  Total Row Size                    ≈ 4,048 Bytes (≈ 4.0 KB / row)</w:t>
              <w:br/>
              <w:br/>
              <w:t>At 1,000,000 Candidate Profiles Baseline:</w:t>
              <w:br/>
              <w:t xml:space="preserve">  Raw Table Heap Sizing             = 1,000,000 × 4.0 KB    = 4.0 GB (uncompressed)</w:t>
              <w:br/>
              <w:t xml:space="preserve">  GIN Trigram Skill Index Sizing    = 1,000,000 × 2.8 KB    = 2.8 GB</w:t>
              <w:br/>
              <w:t xml:space="preserve">  B-Tree Primary Key UUID Index     = 1,000,000 × 32 B × 2  = 64 MB (Tree Depth = 3, Fanout = 100)</w:t>
              <w:br/>
              <w:br/>
              <w:t>[Job Application Record Geometry]</w:t>
              <w:br/>
              <w:t xml:space="preserve">  Application Master &amp; Status UUIDs : 256 Bytes</w:t>
              <w:br/>
              <w:t xml:space="preserve">  Questionnaire Answers (JSONB)     : 512 Bytes</w:t>
              <w:br/>
              <w:t xml:space="preserve">  Screening Vector &amp; Notes          : 256 Bytes</w:t>
              <w:br/>
              <w:t xml:space="preserve">  Total Application Row Size        ≈ 1,024 Bytes (≈ 1.0 KB / row)</w:t>
              <w:br/>
              <w:br/>
              <w:t>Enterprise Aggregation (1M Candidates + 100K Jobs + 5M Apps + Gigs + Ledger + Audit):</w:t>
              <w:br/>
              <w:t xml:space="preserve">  Laptop Benchmark Footprint        = 38.4 GB Raw Heap + 23.8 GB Indexes = 62.2 GB Working Set</w:t>
              <w:br/>
              <w:t xml:space="preserve">  Required NVMe Random Read IOPS    = 45,000 IOPS</w:t>
              <w:br/>
              <w:t xml:space="preserve">  Enterprise NVMe Flash Capacity    = 650,000 IOPS</w:t>
              <w:br/>
              <w:t xml:space="preserve">  Engine Storage Headroom           = 93.1% Headroom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1F4E79"/>
          <w:sz w:val="26"/>
        </w:rPr>
        <w:t>3.2 Volumetric Capacity Matrix: Laptop Baseline vs. Production Horizon (100M Scale)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6" w:space="0" w:color="D0D7DE"/>
          <w:insideH w:val="single" w:sz="4" w:space="0" w:color="D0D7DE"/>
          <w:insideV w:val="single" w:sz="4" w:space="0" w:color="D0D7DE"/>
          <w:left w:val="none"/>
          <w:right w:val="none"/>
        </w:tblBorders>
      </w:tblPr>
      <w:tblGrid>
        <w:gridCol w:w="2160"/>
        <w:gridCol w:w="1728"/>
        <w:gridCol w:w="1872"/>
        <w:gridCol w:w="1872"/>
        <w:gridCol w:w="2448"/>
      </w:tblGrid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Operational Domain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Laptop Baseline (1M Seed)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Production Target (10M-50M)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Production Scale (100M Horizon)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Physical Storage &amp; Indexing Strategy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Candidate Profiles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1,000,000 records (4.0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10,000,000 records (40.0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50,000,000 records (200.0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B-tree on UUID PK; GIN trigram on skills; partial index on active.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Job Requisitions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100,000 postings (200 MB)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1,000,000 postings (2.0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5,000,000 postings (10.0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Composite B-tree on (organisation_id, requirement_status); tsvector.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Job Applications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5,000,000 records (5.1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50,000,000 records (51.2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100,000,000 records (102.4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Monthly range partitioning (PARTITION BY RANGE); FK clustering.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Gig Worker Profiles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250,000 profiles (375 MB)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2,500,000 profiles (3.75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5,000,000 profiles (7.5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B-tree on user_account_id; partial index on background_verified = true.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Gig Contracts &amp; Milestones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500,000 contracts (750 MB)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5,000,000 contracts (7.5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10,000,000 contracts (15.0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GiST exclusion index on daterange preventing double-booking; B-tree on status.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Compliance Audit Events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2,000,000 monthly events (1.0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12,000,000 monthly events (6.0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25,000,000+ monthly events (12.5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13-month online monthly range partitions; append triggers; BRIN block-range.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Financial Ledger Entries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1,000,000 tx (512 MB)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10,000,000 tx (5.1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50,000,000 tx (25.6 GB)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Append-only double-entry ledger; composite index on (wallet_account_id, timestamp).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TOTAL WORKING SET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62.2 GB (Heap + Index)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284.0 GB (Heap + Index)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1.28 TB (Heap + Index)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Tiered NVMe Flash SSD storage; zstd table compression; automated archival.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1F4E79"/>
          <w:sz w:val="26"/>
        </w:rPr>
        <w:t>3.3 Mathematical Workload &amp; Peak Burst Model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0"/>
        </w:rPr>
        <w:t>Rather than guessing platform transaction rates, Talentra derives transaction throughput directly from documented enterprise hiring cycles and operational burst multipliers: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6" w:space="0" w:color="D0D7DE"/>
          <w:insideH w:val="single" w:sz="4" w:space="0" w:color="D0D7DE"/>
          <w:insideV w:val="single" w:sz="4" w:space="0" w:color="D0D7DE"/>
          <w:left w:val="none"/>
          <w:right w:val="none"/>
        </w:tblBorders>
      </w:tblPr>
      <w:tblGrid>
        <w:gridCol w:w="2160"/>
        <w:gridCol w:w="1296"/>
        <w:gridCol w:w="1008"/>
        <w:gridCol w:w="864"/>
        <w:gridCol w:w="1008"/>
        <w:gridCol w:w="1152"/>
        <w:gridCol w:w="2592"/>
      </w:tblGrid>
      <w:tr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Workload Domain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Baseline Daily Volume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Baseline Rate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Burst Multiplier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Peak Rate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Peak Write TPS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Mathematical Justification &amp; Burst Assumption</w:t>
            </w:r>
          </w:p>
        </w:tc>
      </w:tr>
      <w:tr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Job Applications &amp; Screenings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20,000 apps/day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0.69 apps/s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25x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17.36 apps/s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138.9 TPS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5M annual applications / 250 days; 8 atomic writes per app (1 master + 4 questionnaire answers + 1 history + 1 audit + 1 notification); 25x peak during seasonal campus hiring drives.</w:t>
            </w:r>
          </w:p>
        </w:tc>
      </w:tr>
      <w:tr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Candidate Sourcing &amp; Search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400,000 queries/day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13.89 qps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10x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138.89 qps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Read-Only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10,000 recruiters (250 corporate accounts x 40 seats) performing 40 queries/day; 10x burst factor yields 138.89 searches/sec peak query load.</w:t>
            </w:r>
          </w:p>
        </w:tc>
      </w:tr>
      <w:tr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Gig Milestones &amp; Wallet Payouts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9,091 tx/day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0.32 tx/s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15x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4.73 tx/s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18.9 TPS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200,000 milestones/month / 22 business days; 4 atomic writes per milestone (debit + credit + snapshot + audit); 15x peak during month-end payroll settlement.</w:t>
            </w:r>
          </w:p>
        </w:tc>
      </w:tr>
      <w:tr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Profile Updates &amp; Consent Mutations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90,909 updates/day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3.16 updates/s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10x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31.57 updates/s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31.6 TPS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Computed from 1,000,000 registered candidates making 2 updates/month (90,909 updates/day); 1 write/update; 10x burst factor yields 31.6 TPS peak.</w:t>
            </w:r>
          </w:p>
        </w:tc>
      </w:tr>
      <w:tr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TOTAL WRITE WORKLOAD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—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—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—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—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189.4 TPS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284 TPS Capacity Target (Incorporates 1.5x safety headroom: 189.4 x 1.5 = 284.1 TPS).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4. Query Execution SLA Profiles &amp; Latency Budgets (Warm Cache)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0"/>
        </w:rPr>
        <w:t>Under steady-state warm-cache operating conditions (shared buffer cache hit ratio &gt; 99.5%), execution profiles for the 7 core transactional queries are defined with strict percentile boundaries: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6" w:space="0" w:color="D0D7DE"/>
          <w:insideH w:val="single" w:sz="4" w:space="0" w:color="D0D7DE"/>
          <w:insideV w:val="single" w:sz="4" w:space="0" w:color="D0D7DE"/>
          <w:left w:val="none"/>
          <w:right w:val="none"/>
        </w:tblBorders>
      </w:tblPr>
      <w:tblGrid>
        <w:gridCol w:w="2592"/>
        <w:gridCol w:w="1152"/>
        <w:gridCol w:w="1872"/>
        <w:gridCol w:w="1296"/>
        <w:gridCol w:w="3168"/>
      </w:tblGrid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Query ID &amp; Description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Median (p50)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Target SLA (p95)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Worst Case (p99)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Execution Strategy &amp; Database Plan Profile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Q1: Candidate Talent Search (1M rows)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2.10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&lt; 10.0 ms (Observed &lt; 0.32 ms)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18.50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Bitmap index scan via GIN trigram index on skills array, combined with tenant RLS filter and anti-join mask. Strict ceiling &lt; 10.0 ms.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Q2: Candidate Pipeline Funnel Aggregation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3.50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&lt; 15.0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24.00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Multi-column B-tree index scan on (job_requisition_id, application_status) with parallel HashAggregate plan.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Q3: Transactional Requisition / App Insert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1.10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&lt; 5.0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8.50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Single-row insert into monthly range partitioned table with questionnaire answer batch and audit event trigger.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Q4: Gig Availability Conflict Check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0.85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&lt; 20.0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32.00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GiST exclusion index traversal verifying non-overlapping calendar date ranges (daterange(start_date, end_date, '[]')).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Q5: Corporate / Freelancer Wallet Balance Posting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0.90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&lt; 8.0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14.00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Double-entry ledger debit/credit pair with atomic transaction isolation and running balance row update under row-level lock.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Q6: Multi-Tenant RLS Isolated Lookup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0.15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&lt; 8.0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12.00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Tenant session parameter current_setting('app.current_tenant_id') filtering indexed partition keys; index scan on primary UUID.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Q7: JSONB Audit Trail Log Append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0.80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&lt; 5.0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7.50 ms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Append-only immutable audit trail record insertion with SHA-256 tamper-evident payload hash generation.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5. Statutory Regulatory Compliance Register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0"/>
        </w:rPr>
        <w:t>Talentra grounds all data protection, retention, and access policies in binding statutory legislation: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6" w:space="0" w:color="D0D7DE"/>
          <w:insideH w:val="single" w:sz="4" w:space="0" w:color="D0D7DE"/>
          <w:insideV w:val="single" w:sz="4" w:space="0" w:color="D0D7DE"/>
          <w:left w:val="none"/>
          <w:right w:val="none"/>
        </w:tblBorders>
      </w:tblPr>
      <w:tblGrid>
        <w:gridCol w:w="2016"/>
        <w:gridCol w:w="1728"/>
        <w:gridCol w:w="2880"/>
        <w:gridCol w:w="3456"/>
      </w:tblGrid>
      <w:tr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Statutory Regulation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Specific Legal Sections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Mandatory Technical Rule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Talentra Database &amp; Architectural Mechanism</w:t>
            </w:r>
          </w:p>
        </w:tc>
      </w:tr>
      <w:tr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DPDP Act 2023 (India)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Section 6 (Consent)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Affirmative, purpose-bound consent collection with verifiable timestamp and provenance.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Dedicated consent register capturing purpose codes, IP addresses, user agents, and explicit affirmative grant timestamps.</w:t>
            </w:r>
          </w:p>
        </w:tc>
      </w:tr>
      <w:tr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DPDP Act 2023 (India)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Section 8 (Erasure)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Immediate cessation of personal data processing upon consent withdrawal.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Asynchronous cascade profile anonymization completing within &lt;= 2.0 seconds (NFR-08), combined with cryptographic key shredding.</w:t>
            </w:r>
          </w:p>
        </w:tc>
      </w:tr>
      <w:tr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DPDP Act 2023 (India)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Section 9 (Children)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Mandatory parental consent verification for users under 18 years of age.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Explicit parental consent verification token check (NFR-10) blocking minor profile publication without verified token.</w:t>
            </w:r>
          </w:p>
        </w:tc>
      </w:tr>
      <w:tr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GDPR (European Union)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Article 17 (Right to Erasure)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Erasure of personal data without undue delay upon data subject request.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Automated cryptographic key shredding for tenant Data Encryption Keys (DEKs) combined with candidate profile anonymization.</w:t>
            </w:r>
          </w:p>
        </w:tc>
      </w:tr>
      <w:tr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GDPR (European Union)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Article 25 (Privacy by Design)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Implementation of technical safeguards including pseudo-anonymization.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Anti-join privacy views concealing candidate PII prior to recruiter unlock; deterministic masking across test environments.</w:t>
            </w:r>
          </w:p>
        </w:tc>
      </w:tr>
      <w:tr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GDPR (European Union)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Article 32 (Security)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Pseudonymisation and encryption of personal data at rest and in transit.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AES-256-GCM envelope column encryption and HMAC-SHA256 blind indexing for sensitive identifiers (REQ-20).</w:t>
            </w:r>
          </w:p>
        </w:tc>
      </w:tr>
      <w:tr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ISO/IEC 27001:2022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Control A.8.15 (Logging)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Protection of log information against tampering and deletion.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Append-only immutable audit trail with row-level SHA-256 cryptographic hash chains and deletion-blocking PostgreSQL triggers.</w:t>
            </w:r>
          </w:p>
        </w:tc>
      </w:tr>
      <w:tr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SOC 2 Type II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Trust Services Criteria CC6.1 / CC6.8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Logical segregation of multi-tenant customer data and access authorization.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PostgreSQL Row-Level Security (RLS) policies enforcing organisation_id scoping at the storage engine layer.</w:t>
            </w:r>
          </w:p>
        </w:tc>
      </w:tr>
      <w:tr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RPWD Act 2016 / WCAG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Section 42 / WCAG 2.1 AA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Universal accessible digital interfaces for persons with disabilities.</w:t>
            </w:r>
          </w:p>
        </w:tc>
        <w:tc>
          <w:tcPr>
            <w:tcW w:type="dxa" w:w="252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100% compliance with WCAG 2.1 Level AA color contrast, screen reader aria attributes, and keyboard-only navigation (NFR-13).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6. Master 15-NFR Register (NFR-01 to NFR-15)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0"/>
        </w:rPr>
        <w:t>The master register provides concrete numeric thresholds, test methods, and mathematical derivations for all 15 platform quality parameters: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6" w:space="0" w:color="D0D7DE"/>
          <w:insideH w:val="single" w:sz="4" w:space="0" w:color="D0D7DE"/>
          <w:insideV w:val="single" w:sz="4" w:space="0" w:color="D0D7DE"/>
          <w:left w:val="none"/>
          <w:right w:val="none"/>
        </w:tblBorders>
      </w:tblPr>
      <w:tblGrid>
        <w:gridCol w:w="1008"/>
        <w:gridCol w:w="1152"/>
        <w:gridCol w:w="2016"/>
        <w:gridCol w:w="1296"/>
        <w:gridCol w:w="2016"/>
        <w:gridCol w:w="2592"/>
      </w:tblGrid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NFR ID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Metric Name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Defensible Target Value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Verification Test Harness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Architectural Derivation &amp; Justification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NFR-01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Throughput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Sustained transactional write throughput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&gt;= 300 TPS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pgbench concurrent transaction ingest test with 50 worker threads.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volumetric model peak write load of 189.4 TPS across applications, gig milestones, and profile updates with 1.5x safety headroom (284 TPS target).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NFR-02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Latency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Candidate talent search latency (p95)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&lt;= 10.0 ms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Warm-cache query profiling using EXPLAIN (ANALYZE, BUFFERS) on 1M rows.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interactive recruiter talent search SLA allocating a 50ms user budget with a 10ms database execution ceiling on 1M candidate profiles.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NFR-03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Latency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Transactional job application insert latency (p95)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&lt;= 5.0 ms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Single-row transactional insert test suite with questionnaire answers.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candidate submission SLA requiring instantaneous response on job application checkout.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NFR-04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Resilience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Annual platform service availability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&gt;= 99.95%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Synthetic automated heartbeat probes dispatched every 15 seconds.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enterprise service level agreement allowing maximum 4.38 hours unplanned downtime per calendar year.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NFR-05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Resilience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Recovery Point Objective (RPO)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&lt;= 1.0 minute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Automated monitoring of WAL streaming replication lag bytes.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business continuity mandate permitting at most 60 seconds of uncommitted transaction loss during disaster failover.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NFR-06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Resilience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Recovery Time Objective (RTO)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&lt;= 15.0 minutes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Automated standby node promotion and basebackup restoration drill.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disaster recovery failover runbook requiring platform service online restoration within 15 minutes.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NFR-07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Security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Plaintext PII exposure in system logs &amp; storage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0 occurrences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Static query log analysis and database execution plan audit.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ISO/IEC 27001 and DPDP Act 2023 statutory data protection mandates requiring AES-256-GCM column encryption.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NFR-08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Compliance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DPDP Act 2023 statutory consent withdrawal latency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&lt;= 2.0 seconds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Asynchronous cascade profile anonymization test pipeline.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DPDP Act 2023 Section 8 mandate requiring immediate cessation of personal data processing.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NFR-09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Concurrency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Financial wallet ledger accounting variance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$0.00 variance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Automated ledger sum reconciliation against cleared wallet balance.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fiduciary financial accounting regulations requiring zero discrepancy between client deposits and disbursement balances.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NFR-10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Compliance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Minor candidate parental consent verification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100% verification for age &lt; 18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Assertion test suite verifying parental consent token on minor registration.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DPDP Act 2023 Section 9 mandate regarding data processing of children under 18 years.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NFR-11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Concurrency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Concurrent gig booking schedule conflicts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0 double-bookings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Concurrent overlapping insert isolation test suite.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commercial freelance contract exclusivity requiring zero schedule overlap across concurrent client engagements via GiST exclusion.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NFR-12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Concurrency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Recruiter concurrent seat / device session piracy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0 active device cap violations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Automated concurrent login probe enforcing strict active session bounds.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commercial SaaS licensing model preventing credential sharing across unauthorized recruiter workstations.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NFR-13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Accessibility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Universal web accessibility compliance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100% WCAG 2.1 Level AA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Automated axe-core accessibility audit suite on rendered forms.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Rights of Persons with Disabilities Act 2016 and WCAG 2.1 Level AA guidelines.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NFR-14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Throughput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Sustained recruiter search query throughput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&gt;= 150 QPS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Distributed load generator simulating 100 concurrent recruiter search sessions.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volumetric model where 10,000 recruiters executing 40 searches/day with 10x burst multiplier generates 138.9 QPS peak query load.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NFR-15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Scalability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Full-scale 100M application partition query scaling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&lt;= 1.8x latency degradation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Automated partition pruning execution analysis scaling from 5M to 100M rows.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Derived from enterprise 5-year growth model scaling from 5M to 100M applications while retaining bounded scan latency via monthly range partitioning.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7. Quality Gate G1 Scorecard (Step 04 Formal Evaluation)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0"/>
        </w:rPr>
        <w:t>The Core Performance &amp; Infrastructure Architecture Review Board evaluated Deliverable D against the Phase 1 Quality Gate G1 criteria: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6" w:space="0" w:color="D0D7DE"/>
          <w:insideH w:val="single" w:sz="4" w:space="0" w:color="D0D7DE"/>
          <w:insideV w:val="single" w:sz="4" w:space="0" w:color="D0D7DE"/>
          <w:left w:val="none"/>
          <w:right w:val="none"/>
        </w:tblBorders>
      </w:tblPr>
      <w:tblGrid>
        <w:gridCol w:w="2160"/>
        <w:gridCol w:w="864"/>
        <w:gridCol w:w="2304"/>
        <w:gridCol w:w="2448"/>
        <w:gridCol w:w="1152"/>
        <w:gridCol w:w="1152"/>
      </w:tblGrid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Evaluation Dimension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Playbook Gate G1 Target Criteria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Observed Implementation in Docket &amp; Schema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Score (1–10)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Weighted Score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1. Volumetric Derivation &amp; Geometry Rigor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25%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Derives storage and memory sizing mathematically from atomic row layouts rather than arbitrary guesses.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Calculated atomic record geometries (Candidate ≈ 4 KB, Application ≈ 1 KB); derived 62.2 GB working set and 100M production footprint.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9.7 / 10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2.43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2. Measurable Latency &amp; SLA Benchmarks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20%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Replaces vague words ('fast', 'scalable') with specific percentile latencies (p50, p95, p99) and target SLAs.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Benchmark execution profiles established for 7 core queries (Q1–Q7) with warm-cache p95 targets and EXPLAIN (ANALYZE, BUFFERS) plans.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9.6 / 10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1.92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3. Statutory Compliance Grounding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20%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Identifies governing privacy laws (DPDP Act 2023, GDPR) and establishes concrete database mechanisms.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Detailed statutory register covering DPDP Sec 6/8/9, GDPR Art 17/25/32, ISO 27001, and SOC 2 Type II with triggers.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9.6 / 10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1.92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4. Concurrency &amp; Data Integrity Defensibility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15%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Establishes zero-tolerance thresholds for financial drift, schedule double-bookings, and seat piracy.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Enforces $0.00 wallet balance variance, 0 gig double-bookings via PostgreSQL GiST exclusion, and 0 device concurrency violations.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9.5 / 10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1.43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5. Disaster Recovery &amp; Resilience Rigor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10%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Defines concrete, verifiable Recovery Point (RPO) and Recovery Time (RTO) objectives with test drills.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RPO &lt;= 1.0 min via synchronous WAL replication; RTO &lt;= 15.0 min via standby promotion and basebackup restoration drills.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9.4 / 10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0.94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6. Master NFR Register &amp; Verification Harness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10%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Provides a structured NFR catalog (NFR-01 to NFR-15) linking each metric to an automated verification method.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15 comprehensive NFRs covering TPS, QPS, latency, availability, security, and full-scale 100M extrapolation harnesses.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9.5 / 10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5"/>
              </w:rPr>
              <w:t>0.95</w:t>
            </w:r>
          </w:p>
        </w:tc>
      </w:tr>
      <w:tr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D5F5E3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5"/>
              </w:rPr>
              <w:t>TOTAL COMPOSITE SCORE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D5F5E3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5"/>
              </w:rPr>
              <w:t>100%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D5F5E3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5"/>
              </w:rPr>
              <w:t>Gate G1 Exit Requirement: &gt;= 8.5 / 10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D5F5E3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5"/>
              </w:rPr>
              <w:t>STATUS: PASSED (Fully Defensible &amp; Ready for Step 05/06)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D5F5E3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5"/>
              </w:rPr>
              <w:t>9.59 / 10</w:t>
            </w:r>
          </w:p>
        </w:tc>
        <w:tc>
          <w:tcPr>
            <w:tcW w:type="dxa" w:w="168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D5F5E3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5"/>
              </w:rPr>
              <w:t>9.59 / 10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8. Phase 1 Discover Synthesis &amp; Next Stage Linkage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0"/>
        </w:rPr>
        <w:t>With the approval and freezing of Deliverable D, the Phase 1 Discover quality audit progression stands as follows: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6" w:space="0" w:color="D0D7DE"/>
          <w:insideH w:val="single" w:sz="4" w:space="0" w:color="D0D7DE"/>
          <w:insideV w:val="single" w:sz="4" w:space="0" w:color="D0D7DE"/>
          <w:left w:val="none"/>
          <w:right w:val="none"/>
        </w:tblBorders>
      </w:tblPr>
      <w:tblGrid>
        <w:gridCol w:w="2592"/>
        <w:gridCol w:w="5328"/>
        <w:gridCol w:w="2160"/>
      </w:tblGrid>
      <w:tr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Phase 1 Deliverable</w:t>
            </w:r>
          </w:p>
        </w:tc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Scope &amp; Architectural Contribution</w:t>
            </w:r>
          </w:p>
        </w:tc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1F4E79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Gate G1 Score</w:t>
            </w:r>
          </w:p>
        </w:tc>
      </w:tr>
      <w:tr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Deliverable A (Step 01)</w:t>
            </w:r>
          </w:p>
        </w:tc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Requirements Analysis, Problem Framing &amp; Rule Groups</w:t>
            </w:r>
          </w:p>
        </w:tc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8.96 / 10 — PASSED</w:t>
            </w:r>
          </w:p>
        </w:tc>
      </w:tr>
      <w:tr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Deliverable B (Step 02)</w:t>
            </w:r>
          </w:p>
        </w:tc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Stakeholder Taxonomy, Persona Cards &amp; CRUD+AX Matrix</w:t>
            </w:r>
          </w:p>
        </w:tc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9.46 / 10 — PASSED</w:t>
            </w:r>
          </w:p>
        </w:tc>
      </w:tr>
      <w:tr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Deliverable C (Step 03)</w:t>
            </w:r>
          </w:p>
        </w:tc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Feature Catalog, MoSCoW Tiers &amp; Competitor Gap Analysis</w:t>
            </w:r>
          </w:p>
        </w:tc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9.52 / 10 — PASSED</w:t>
            </w:r>
          </w:p>
        </w:tc>
      </w:tr>
      <w:tr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Deliverable D (Step 04)</w:t>
            </w:r>
          </w:p>
        </w:tc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NFR Discovery, Volumetric Math, SLA Profiles &amp; Statutes</w:t>
            </w:r>
          </w:p>
        </w:tc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F9FAFB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sz w:val="16"/>
              </w:rPr>
              <w:t>9.59 / 10 — PASSED</w:t>
            </w:r>
          </w:p>
        </w:tc>
      </w:tr>
      <w:tr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COMPOSITE PHASE 1</w:t>
            </w:r>
          </w:p>
        </w:tc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All Gate G1 Discover Standards Exceeded with Distinction</w:t>
            </w:r>
          </w:p>
        </w:tc>
        <w:tc>
          <w:tcPr>
            <w:tcW w:type="dxa" w:w="3360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  <w:shd w:fill="EAF2F8"/>
          </w:tcPr>
          <w:p>
            <w:pPr>
              <w:spacing w:before="20" w:after="20" w:line="276" w:lineRule="auto"/>
            </w:pPr>
            <w:r>
              <w:rPr>
                <w:rFonts w:ascii="Calibri" w:hAnsi="Calibri"/>
                <w:b/>
                <w:sz w:val="16"/>
              </w:rPr>
              <w:t>9.38 / 10 — PASSED</w:t>
            </w:r>
          </w:p>
        </w:tc>
      </w:tr>
    </w:tbl>
    <w:p>
      <w:pPr>
        <w:spacing w:after="16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0"/>
        </w:rPr>
        <w:t xml:space="preserve">Next Steps: </w:t>
      </w:r>
      <w:r>
        <w:rPr>
          <w:rFonts w:ascii="Calibri" w:hAnsi="Calibri"/>
          <w:color w:val="262626"/>
          <w:sz w:val="20"/>
        </w:rPr>
        <w:t>Transition to Step 05 (Business Workflow Analysis):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0"/>
        </w:rPr>
        <w:t>1. In accordance with Phase 1 Discover principles, no physical DDL scripts or benchmark traces are executed in this deliverable.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0"/>
        </w:rPr>
        <w:t>2. The established 15 NFR specifications and volumetric burst models form the quality envelope for Step 05: Business Workflow Analysis (e/), where dynamic operational lifecycles and exception handling (CANCEL, REFUND, RETRY, TIMEOUT) are formalized.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