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44"/>
        </w:rPr>
        <w:t>D. Non-Functional Requirements (NFR) Discovery</w:t>
      </w:r>
    </w:p>
    <w:p>
      <w:r>
        <w:rPr>
          <w:rFonts w:ascii="Calibri" w:hAnsi="Calibri"/>
          <w:b/>
          <w:color w:val="2563EB"/>
          <w:sz w:val="24"/>
        </w:rPr>
        <w:t>Step 04 · Discover | Measurable Quality Targets, Regulations, and Verification Framework</w:t>
      </w:r>
    </w:p>
    <w:p>
      <w:r>
        <w:rPr>
          <w:rFonts w:ascii="Calibri" w:hAnsi="Calibri"/>
          <w:i/>
          <w:color w:val="64748B"/>
          <w:sz w:val="20"/>
        </w:rPr>
        <w:t>Talentra Database Design | Repository-aligned Stage 1 deliverable</w:t>
      </w:r>
    </w:p>
    <w:p/>
    <w:p>
      <w:pPr>
        <w:keepNext/>
        <w:spacing w:before="320" w:after="120"/>
      </w:pPr>
      <w:r>
        <w:rPr>
          <w:rFonts w:ascii="Calibri" w:hAnsi="Calibri"/>
          <w:b/>
          <w:color w:val="0F172A"/>
          <w:sz w:val="30"/>
        </w:rPr>
        <w:t>1. Executive Scope &amp; Engineering Purpose</w:t>
      </w:r>
    </w:p>
    <w:p>
      <w:pPr>
        <w:spacing w:before="0" w:after="120" w:line="276" w:lineRule="auto"/>
      </w:pPr>
      <w:r>
        <w:rPr>
          <w:rFonts w:ascii="Calibri" w:hAnsi="Calibri"/>
          <w:color w:val="334155"/>
          <w:sz w:val="21"/>
        </w:rPr>
        <w:t>Non-functional requirements (NFRs) dictate the operational quality, scalability, security boundaries, and regulatory survival of the Talentra platform. In accordance with Stage 1 Discover principles, all quality targets in this docket are derived from empirical workload volumes and physical PostgreSQL database constraints rather than arbitrary assumptions.</w:t>
      </w:r>
    </w:p>
    <w:p>
      <w:pPr>
        <w:spacing w:before="0" w:after="120" w:line="276" w:lineRule="auto"/>
      </w:pPr>
      <w:r>
        <w:rPr>
          <w:rFonts w:ascii="Calibri" w:hAnsi="Calibri"/>
          <w:color w:val="334155"/>
          <w:sz w:val="21"/>
        </w:rPr>
        <w:t>The objective of this docket is to establish unambiguous, measurable targets across scale, response time, availability, security, privacy, regulatory compliance, and universal accessibility before schema structures and physical storage designs lock them out.</w:t>
      </w:r>
    </w:p>
    <w:p>
      <w:pPr>
        <w:keepNext/>
        <w:spacing w:before="320" w:after="120"/>
      </w:pPr>
      <w:r>
        <w:rPr>
          <w:rFonts w:ascii="Calibri" w:hAnsi="Calibri"/>
          <w:b/>
          <w:color w:val="0F172A"/>
          <w:sz w:val="30"/>
        </w:rPr>
        <w:t>2. Scale &amp; Volumetric Extrapolation Baseline</w:t>
      </w:r>
    </w:p>
    <w:p>
      <w:pPr>
        <w:spacing w:before="0" w:after="120" w:line="276" w:lineRule="auto"/>
      </w:pPr>
      <w:r>
        <w:rPr>
          <w:rFonts w:ascii="Calibri" w:hAnsi="Calibri"/>
          <w:color w:val="334155"/>
          <w:sz w:val="21"/>
        </w:rPr>
        <w:t>To ensure that laptop-scale benchmarking can be mathematically extrapolated to full enterprise production scale, Talentra defines two formal volumetric tiers: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Pr>
          <w:p>
            <w:pPr>
              <w:jc w:val="left"/>
            </w:pPr>
            <w:r>
              <w:rPr>
                <w:rFonts w:ascii="Calibri" w:hAnsi="Calibri"/>
                <w:b/>
                <w:color w:val="FFFFFF"/>
                <w:sz w:val="19"/>
              </w:rPr>
              <w:t>Metric / Entity</w:t>
            </w:r>
          </w:p>
        </w:tc>
        <w:tc>
          <w:tcPr>
            <w:tcW w:type="dxa" w:w="2304"/>
            <w:shd w:fill="1E3A8A"/>
          </w:tcPr>
          <w:p>
            <w:pPr>
              <w:jc w:val="left"/>
            </w:pPr>
            <w:r>
              <w:rPr>
                <w:rFonts w:ascii="Calibri" w:hAnsi="Calibri"/>
                <w:b/>
                <w:color w:val="FFFFFF"/>
                <w:sz w:val="19"/>
              </w:rPr>
              <w:t>Laptop Benchmark Baseline</w:t>
            </w:r>
          </w:p>
        </w:tc>
        <w:tc>
          <w:tcPr>
            <w:tcW w:type="dxa" w:w="2592"/>
            <w:shd w:fill="1E3A8A"/>
          </w:tcPr>
          <w:p>
            <w:pPr>
              <w:jc w:val="left"/>
            </w:pPr>
            <w:r>
              <w:rPr>
                <w:rFonts w:ascii="Calibri" w:hAnsi="Calibri"/>
                <w:b/>
                <w:color w:val="FFFFFF"/>
                <w:sz w:val="19"/>
              </w:rPr>
              <w:t>Production Extrapolation (10x-100x)</w:t>
            </w:r>
          </w:p>
        </w:tc>
        <w:tc>
          <w:tcPr>
            <w:tcW w:type="dxa" w:w="2304"/>
            <w:shd w:fill="1E3A8A"/>
          </w:tcPr>
          <w:p>
            <w:pPr>
              <w:jc w:val="left"/>
            </w:pPr>
            <w:r>
              <w:rPr>
                <w:rFonts w:ascii="Calibri" w:hAnsi="Calibri"/>
                <w:b/>
                <w:color w:val="FFFFFF"/>
                <w:sz w:val="19"/>
              </w:rPr>
              <w:t>Physical Storage Strategy</w:t>
            </w:r>
          </w:p>
        </w:tc>
      </w:tr>
      <w:tr>
        <w:tc>
          <w:tcPr>
            <w:tcW w:type="dxa" w:w="2160"/>
            <w:shd w:fill="FFFFFF"/>
          </w:tcPr>
          <w:p>
            <w:pPr>
              <w:jc w:val="left"/>
            </w:pPr>
            <w:r>
              <w:rPr>
                <w:rFonts w:ascii="Calibri" w:hAnsi="Calibri"/>
                <w:color w:val="334155"/>
                <w:sz w:val="18"/>
              </w:rPr>
              <w:t>Candidate Profiles</w:t>
            </w:r>
          </w:p>
        </w:tc>
        <w:tc>
          <w:tcPr>
            <w:tcW w:type="dxa" w:w="2304"/>
            <w:shd w:fill="FFFFFF"/>
          </w:tcPr>
          <w:p>
            <w:pPr>
              <w:jc w:val="left"/>
            </w:pPr>
            <w:r>
              <w:rPr>
                <w:rFonts w:ascii="Calibri" w:hAnsi="Calibri"/>
                <w:color w:val="334155"/>
                <w:sz w:val="18"/>
              </w:rPr>
              <w:t>1,000,000 profiles</w:t>
            </w:r>
          </w:p>
        </w:tc>
        <w:tc>
          <w:tcPr>
            <w:tcW w:type="dxa" w:w="2592"/>
            <w:shd w:fill="FFFFFF"/>
          </w:tcPr>
          <w:p>
            <w:pPr>
              <w:jc w:val="left"/>
            </w:pPr>
            <w:r>
              <w:rPr>
                <w:rFonts w:ascii="Calibri" w:hAnsi="Calibri"/>
                <w:color w:val="334155"/>
                <w:sz w:val="18"/>
              </w:rPr>
              <w:t>10,000,000 to 50,000,000 profiles</w:t>
            </w:r>
          </w:p>
        </w:tc>
        <w:tc>
          <w:tcPr>
            <w:tcW w:type="dxa" w:w="2304"/>
            <w:shd w:fill="FFFFFF"/>
          </w:tcPr>
          <w:p>
            <w:pPr>
              <w:jc w:val="left"/>
            </w:pPr>
            <w:r>
              <w:rPr>
                <w:rFonts w:ascii="Calibri" w:hAnsi="Calibri"/>
                <w:color w:val="334155"/>
                <w:sz w:val="18"/>
              </w:rPr>
              <w:t>B-tree on canonical UUID, GIN trigram index on full text</w:t>
            </w:r>
          </w:p>
        </w:tc>
      </w:tr>
      <w:tr>
        <w:tc>
          <w:tcPr>
            <w:tcW w:type="dxa" w:w="2160"/>
            <w:shd w:fill="F8FAFC"/>
          </w:tcPr>
          <w:p>
            <w:pPr>
              <w:jc w:val="left"/>
            </w:pPr>
            <w:r>
              <w:rPr>
                <w:rFonts w:ascii="Calibri" w:hAnsi="Calibri"/>
                <w:color w:val="334155"/>
                <w:sz w:val="18"/>
              </w:rPr>
              <w:t>Job Requisitions</w:t>
            </w:r>
          </w:p>
        </w:tc>
        <w:tc>
          <w:tcPr>
            <w:tcW w:type="dxa" w:w="2304"/>
            <w:shd w:fill="F8FAFC"/>
          </w:tcPr>
          <w:p>
            <w:pPr>
              <w:jc w:val="left"/>
            </w:pPr>
            <w:r>
              <w:rPr>
                <w:rFonts w:ascii="Calibri" w:hAnsi="Calibri"/>
                <w:color w:val="334155"/>
                <w:sz w:val="18"/>
              </w:rPr>
              <w:t>100,000 postings</w:t>
            </w:r>
          </w:p>
        </w:tc>
        <w:tc>
          <w:tcPr>
            <w:tcW w:type="dxa" w:w="2592"/>
            <w:shd w:fill="F8FAFC"/>
          </w:tcPr>
          <w:p>
            <w:pPr>
              <w:jc w:val="left"/>
            </w:pPr>
            <w:r>
              <w:rPr>
                <w:rFonts w:ascii="Calibri" w:hAnsi="Calibri"/>
                <w:color w:val="334155"/>
                <w:sz w:val="18"/>
              </w:rPr>
              <w:t>1,000,000 to 5,000,000 active/archived</w:t>
            </w:r>
          </w:p>
        </w:tc>
        <w:tc>
          <w:tcPr>
            <w:tcW w:type="dxa" w:w="2304"/>
            <w:shd w:fill="F8FAFC"/>
          </w:tcPr>
          <w:p>
            <w:pPr>
              <w:jc w:val="left"/>
            </w:pPr>
            <w:r>
              <w:rPr>
                <w:rFonts w:ascii="Calibri" w:hAnsi="Calibri"/>
                <w:color w:val="334155"/>
                <w:sz w:val="18"/>
              </w:rPr>
              <w:t>Composite indexes on (organisation_id, status_id)</w:t>
            </w:r>
          </w:p>
        </w:tc>
      </w:tr>
      <w:tr>
        <w:tc>
          <w:tcPr>
            <w:tcW w:type="dxa" w:w="2160"/>
            <w:shd w:fill="FFFFFF"/>
          </w:tcPr>
          <w:p>
            <w:pPr>
              <w:jc w:val="left"/>
            </w:pPr>
            <w:r>
              <w:rPr>
                <w:rFonts w:ascii="Calibri" w:hAnsi="Calibri"/>
                <w:color w:val="334155"/>
                <w:sz w:val="18"/>
              </w:rPr>
              <w:t>Job Applications</w:t>
            </w:r>
          </w:p>
        </w:tc>
        <w:tc>
          <w:tcPr>
            <w:tcW w:type="dxa" w:w="2304"/>
            <w:shd w:fill="FFFFFF"/>
          </w:tcPr>
          <w:p>
            <w:pPr>
              <w:jc w:val="left"/>
            </w:pPr>
            <w:r>
              <w:rPr>
                <w:rFonts w:ascii="Calibri" w:hAnsi="Calibri"/>
                <w:color w:val="334155"/>
                <w:sz w:val="18"/>
              </w:rPr>
              <w:t>5,000,000 records</w:t>
            </w:r>
          </w:p>
        </w:tc>
        <w:tc>
          <w:tcPr>
            <w:tcW w:type="dxa" w:w="2592"/>
            <w:shd w:fill="FFFFFF"/>
          </w:tcPr>
          <w:p>
            <w:pPr>
              <w:jc w:val="left"/>
            </w:pPr>
            <w:r>
              <w:rPr>
                <w:rFonts w:ascii="Calibri" w:hAnsi="Calibri"/>
                <w:color w:val="334155"/>
                <w:sz w:val="18"/>
              </w:rPr>
              <w:t>50,000,000 to 100,000,000 records</w:t>
            </w:r>
          </w:p>
        </w:tc>
        <w:tc>
          <w:tcPr>
            <w:tcW w:type="dxa" w:w="2304"/>
            <w:shd w:fill="FFFFFF"/>
          </w:tcPr>
          <w:p>
            <w:pPr>
              <w:jc w:val="left"/>
            </w:pPr>
            <w:r>
              <w:rPr>
                <w:rFonts w:ascii="Calibri" w:hAnsi="Calibri"/>
                <w:color w:val="334155"/>
                <w:sz w:val="18"/>
              </w:rPr>
              <w:t>Range-partitioned by application_date, foreign key cluster</w:t>
            </w:r>
          </w:p>
        </w:tc>
      </w:tr>
      <w:tr>
        <w:tc>
          <w:tcPr>
            <w:tcW w:type="dxa" w:w="2160"/>
            <w:shd w:fill="F8FAFC"/>
          </w:tcPr>
          <w:p>
            <w:pPr>
              <w:jc w:val="left"/>
            </w:pPr>
            <w:r>
              <w:rPr>
                <w:rFonts w:ascii="Calibri" w:hAnsi="Calibri"/>
                <w:color w:val="334155"/>
                <w:sz w:val="18"/>
              </w:rPr>
              <w:t>Gig Marketplace Profiles</w:t>
            </w:r>
          </w:p>
        </w:tc>
        <w:tc>
          <w:tcPr>
            <w:tcW w:type="dxa" w:w="2304"/>
            <w:shd w:fill="F8FAFC"/>
          </w:tcPr>
          <w:p>
            <w:pPr>
              <w:jc w:val="left"/>
            </w:pPr>
            <w:r>
              <w:rPr>
                <w:rFonts w:ascii="Calibri" w:hAnsi="Calibri"/>
                <w:color w:val="334155"/>
                <w:sz w:val="18"/>
              </w:rPr>
              <w:t>250,000 gig workers</w:t>
            </w:r>
          </w:p>
        </w:tc>
        <w:tc>
          <w:tcPr>
            <w:tcW w:type="dxa" w:w="2592"/>
            <w:shd w:fill="F8FAFC"/>
          </w:tcPr>
          <w:p>
            <w:pPr>
              <w:jc w:val="left"/>
            </w:pPr>
            <w:r>
              <w:rPr>
                <w:rFonts w:ascii="Calibri" w:hAnsi="Calibri"/>
                <w:color w:val="334155"/>
                <w:sz w:val="18"/>
              </w:rPr>
              <w:t>2,500,000 to 5,000,000 workers</w:t>
            </w:r>
          </w:p>
        </w:tc>
        <w:tc>
          <w:tcPr>
            <w:tcW w:type="dxa" w:w="2304"/>
            <w:shd w:fill="F8FAFC"/>
          </w:tcPr>
          <w:p>
            <w:pPr>
              <w:jc w:val="left"/>
            </w:pPr>
            <w:r>
              <w:rPr>
                <w:rFonts w:ascii="Calibri" w:hAnsi="Calibri"/>
                <w:color w:val="334155"/>
                <w:sz w:val="18"/>
              </w:rPr>
              <w:t>GiST exclusion indexing on calendar availability</w:t>
            </w:r>
          </w:p>
        </w:tc>
      </w:tr>
      <w:tr>
        <w:tc>
          <w:tcPr>
            <w:tcW w:type="dxa" w:w="2160"/>
            <w:shd w:fill="FFFFFF"/>
          </w:tcPr>
          <w:p>
            <w:pPr>
              <w:jc w:val="left"/>
            </w:pPr>
            <w:r>
              <w:rPr>
                <w:rFonts w:ascii="Calibri" w:hAnsi="Calibri"/>
                <w:color w:val="334155"/>
                <w:sz w:val="18"/>
              </w:rPr>
              <w:t>Gig Contracts &amp; Requests</w:t>
            </w:r>
          </w:p>
        </w:tc>
        <w:tc>
          <w:tcPr>
            <w:tcW w:type="dxa" w:w="2304"/>
            <w:shd w:fill="FFFFFF"/>
          </w:tcPr>
          <w:p>
            <w:pPr>
              <w:jc w:val="left"/>
            </w:pPr>
            <w:r>
              <w:rPr>
                <w:rFonts w:ascii="Calibri" w:hAnsi="Calibri"/>
                <w:color w:val="334155"/>
                <w:sz w:val="18"/>
              </w:rPr>
              <w:t>500,000 contracts</w:t>
            </w:r>
          </w:p>
        </w:tc>
        <w:tc>
          <w:tcPr>
            <w:tcW w:type="dxa" w:w="2592"/>
            <w:shd w:fill="FFFFFF"/>
          </w:tcPr>
          <w:p>
            <w:pPr>
              <w:jc w:val="left"/>
            </w:pPr>
            <w:r>
              <w:rPr>
                <w:rFonts w:ascii="Calibri" w:hAnsi="Calibri"/>
                <w:color w:val="334155"/>
                <w:sz w:val="18"/>
              </w:rPr>
              <w:t>5,000,000 active/settled contracts</w:t>
            </w:r>
          </w:p>
        </w:tc>
        <w:tc>
          <w:tcPr>
            <w:tcW w:type="dxa" w:w="2304"/>
            <w:shd w:fill="FFFFFF"/>
          </w:tcPr>
          <w:p>
            <w:pPr>
              <w:jc w:val="left"/>
            </w:pPr>
            <w:r>
              <w:rPr>
                <w:rFonts w:ascii="Calibri" w:hAnsi="Calibri"/>
                <w:color w:val="334155"/>
                <w:sz w:val="18"/>
              </w:rPr>
              <w:t>GiST non-overlapping temporal constraints</w:t>
            </w:r>
          </w:p>
        </w:tc>
      </w:tr>
      <w:tr>
        <w:tc>
          <w:tcPr>
            <w:tcW w:type="dxa" w:w="2160"/>
            <w:shd w:fill="F8FAFC"/>
          </w:tcPr>
          <w:p>
            <w:pPr>
              <w:jc w:val="left"/>
            </w:pPr>
            <w:r>
              <w:rPr>
                <w:rFonts w:ascii="Calibri" w:hAnsi="Calibri"/>
                <w:color w:val="334155"/>
                <w:sz w:val="18"/>
              </w:rPr>
              <w:t>Audit &amp; Notification Events</w:t>
            </w:r>
          </w:p>
        </w:tc>
        <w:tc>
          <w:tcPr>
            <w:tcW w:type="dxa" w:w="2304"/>
            <w:shd w:fill="F8FAFC"/>
          </w:tcPr>
          <w:p>
            <w:pPr>
              <w:jc w:val="left"/>
            </w:pPr>
            <w:r>
              <w:rPr>
                <w:rFonts w:ascii="Calibri" w:hAnsi="Calibri"/>
                <w:color w:val="334155"/>
                <w:sz w:val="18"/>
              </w:rPr>
              <w:t>2,000,000 monthly events</w:t>
            </w:r>
          </w:p>
        </w:tc>
        <w:tc>
          <w:tcPr>
            <w:tcW w:type="dxa" w:w="2592"/>
            <w:shd w:fill="F8FAFC"/>
          </w:tcPr>
          <w:p>
            <w:pPr>
              <w:jc w:val="left"/>
            </w:pPr>
            <w:r>
              <w:rPr>
                <w:rFonts w:ascii="Calibri" w:hAnsi="Calibri"/>
                <w:color w:val="334155"/>
                <w:sz w:val="18"/>
              </w:rPr>
              <w:t>25,000,000+ monthly events</w:t>
            </w:r>
          </w:p>
        </w:tc>
        <w:tc>
          <w:tcPr>
            <w:tcW w:type="dxa" w:w="2304"/>
            <w:shd w:fill="F8FAFC"/>
          </w:tcPr>
          <w:p>
            <w:pPr>
              <w:jc w:val="left"/>
            </w:pPr>
            <w:r>
              <w:rPr>
                <w:rFonts w:ascii="Calibri" w:hAnsi="Calibri"/>
                <w:color w:val="334155"/>
                <w:sz w:val="18"/>
              </w:rPr>
              <w:t>13-month online monthly range partitions, immutable tables</w:t>
            </w:r>
          </w:p>
        </w:tc>
      </w:tr>
      <w:tr>
        <w:tc>
          <w:tcPr>
            <w:tcW w:type="dxa" w:w="2160"/>
            <w:shd w:fill="FFFFFF"/>
          </w:tcPr>
          <w:p>
            <w:pPr>
              <w:jc w:val="left"/>
            </w:pPr>
            <w:r>
              <w:rPr>
                <w:rFonts w:ascii="Calibri" w:hAnsi="Calibri"/>
                <w:color w:val="334155"/>
                <w:sz w:val="18"/>
              </w:rPr>
              <w:t>Raw Data Footprint</w:t>
            </w:r>
          </w:p>
        </w:tc>
        <w:tc>
          <w:tcPr>
            <w:tcW w:type="dxa" w:w="2304"/>
            <w:shd w:fill="FFFFFF"/>
          </w:tcPr>
          <w:p>
            <w:pPr>
              <w:jc w:val="left"/>
            </w:pPr>
            <w:r>
              <w:rPr>
                <w:rFonts w:ascii="Calibri" w:hAnsi="Calibri"/>
                <w:color w:val="334155"/>
                <w:sz w:val="18"/>
              </w:rPr>
              <w:t>38.4 GB raw table data</w:t>
            </w:r>
          </w:p>
        </w:tc>
        <w:tc>
          <w:tcPr>
            <w:tcW w:type="dxa" w:w="2592"/>
            <w:shd w:fill="FFFFFF"/>
          </w:tcPr>
          <w:p>
            <w:pPr>
              <w:jc w:val="left"/>
            </w:pPr>
            <w:r>
              <w:rPr>
                <w:rFonts w:ascii="Calibri" w:hAnsi="Calibri"/>
                <w:color w:val="334155"/>
                <w:sz w:val="18"/>
              </w:rPr>
              <w:t>384 GB to 1.9 TB raw storage</w:t>
            </w:r>
          </w:p>
        </w:tc>
        <w:tc>
          <w:tcPr>
            <w:tcW w:type="dxa" w:w="2304"/>
            <w:shd w:fill="FFFFFF"/>
          </w:tcPr>
          <w:p>
            <w:pPr>
              <w:jc w:val="left"/>
            </w:pPr>
            <w:r>
              <w:rPr>
                <w:rFonts w:ascii="Calibri" w:hAnsi="Calibri"/>
                <w:color w:val="334155"/>
                <w:sz w:val="18"/>
              </w:rPr>
              <w:t>NVMe SSD PCIe Gen4, zstd compression, table partitioning</w:t>
            </w:r>
          </w:p>
        </w:tc>
      </w:tr>
      <w:tr>
        <w:tc>
          <w:tcPr>
            <w:tcW w:type="dxa" w:w="2160"/>
            <w:shd w:fill="F8FAFC"/>
          </w:tcPr>
          <w:p>
            <w:pPr>
              <w:jc w:val="left"/>
            </w:pPr>
            <w:r>
              <w:rPr>
                <w:rFonts w:ascii="Calibri" w:hAnsi="Calibri"/>
                <w:color w:val="334155"/>
                <w:sz w:val="18"/>
              </w:rPr>
              <w:t>Total Index Footprint</w:t>
            </w:r>
          </w:p>
        </w:tc>
        <w:tc>
          <w:tcPr>
            <w:tcW w:type="dxa" w:w="2304"/>
            <w:shd w:fill="F8FAFC"/>
          </w:tcPr>
          <w:p>
            <w:pPr>
              <w:jc w:val="left"/>
            </w:pPr>
            <w:r>
              <w:rPr>
                <w:rFonts w:ascii="Calibri" w:hAnsi="Calibri"/>
                <w:color w:val="334155"/>
                <w:sz w:val="18"/>
              </w:rPr>
              <w:t>23.8 GB dedicated indexes</w:t>
            </w:r>
          </w:p>
        </w:tc>
        <w:tc>
          <w:tcPr>
            <w:tcW w:type="dxa" w:w="2592"/>
            <w:shd w:fill="F8FAFC"/>
          </w:tcPr>
          <w:p>
            <w:pPr>
              <w:jc w:val="left"/>
            </w:pPr>
            <w:r>
              <w:rPr>
                <w:rFonts w:ascii="Calibri" w:hAnsi="Calibri"/>
                <w:color w:val="334155"/>
                <w:sz w:val="18"/>
              </w:rPr>
              <w:t>238 GB to 1.1 TB indexes</w:t>
            </w:r>
          </w:p>
        </w:tc>
        <w:tc>
          <w:tcPr>
            <w:tcW w:type="dxa" w:w="2304"/>
            <w:shd w:fill="F8FAFC"/>
          </w:tcPr>
          <w:p>
            <w:pPr>
              <w:jc w:val="left"/>
            </w:pPr>
            <w:r>
              <w:rPr>
                <w:rFonts w:ascii="Calibri" w:hAnsi="Calibri"/>
                <w:color w:val="334155"/>
                <w:sz w:val="18"/>
              </w:rPr>
              <w:t>Partial indexes, sparse bloom filters, BRIN on audit dates</w:t>
            </w:r>
          </w:p>
        </w:tc>
      </w:tr>
    </w:tbl>
    <w:p/>
    <w:p>
      <w:pPr>
        <w:keepNext/>
        <w:spacing w:before="320" w:after="120"/>
      </w:pPr>
      <w:r>
        <w:rPr>
          <w:rFonts w:ascii="Calibri" w:hAnsi="Calibri"/>
          <w:b/>
          <w:color w:val="0F172A"/>
          <w:sz w:val="30"/>
        </w:rPr>
        <w:t>3. Query Latency &amp; Response Time SLAs</w:t>
      </w:r>
    </w:p>
    <w:p>
      <w:pPr>
        <w:spacing w:before="0" w:after="120" w:line="276" w:lineRule="auto"/>
      </w:pPr>
      <w:r>
        <w:rPr>
          <w:rFonts w:ascii="Calibri" w:hAnsi="Calibri"/>
          <w:color w:val="334155"/>
          <w:sz w:val="21"/>
        </w:rPr>
        <w:t>Latency measurements were captured under warm-cache conditions (shared_buffers = 8GB, NVMe flash random_page_cost = 1.1) to establish empirical p50, p95, and p99 percentile baselines: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1E3A8A"/>
          </w:tcPr>
          <w:p>
            <w:pPr>
              <w:jc w:val="left"/>
            </w:pPr>
            <w:r>
              <w:rPr>
                <w:rFonts w:ascii="Calibri" w:hAnsi="Calibri"/>
                <w:b/>
                <w:color w:val="FFFFFF"/>
                <w:sz w:val="19"/>
              </w:rPr>
              <w:t>Query Classification</w:t>
            </w:r>
          </w:p>
        </w:tc>
        <w:tc>
          <w:tcPr>
            <w:tcW w:type="dxa" w:w="2592"/>
            <w:shd w:fill="1E3A8A"/>
          </w:tcPr>
          <w:p>
            <w:pPr>
              <w:jc w:val="left"/>
            </w:pPr>
            <w:r>
              <w:rPr>
                <w:rFonts w:ascii="Calibri" w:hAnsi="Calibri"/>
                <w:b/>
                <w:color w:val="FFFFFF"/>
                <w:sz w:val="19"/>
              </w:rPr>
              <w:t>Query Scope / Description</w:t>
            </w:r>
          </w:p>
        </w:tc>
        <w:tc>
          <w:tcPr>
            <w:tcW w:type="dxa" w:w="1296"/>
            <w:shd w:fill="1E3A8A"/>
          </w:tcPr>
          <w:p>
            <w:pPr>
              <w:jc w:val="left"/>
            </w:pPr>
            <w:r>
              <w:rPr>
                <w:rFonts w:ascii="Calibri" w:hAnsi="Calibri"/>
                <w:b/>
                <w:color w:val="FFFFFF"/>
                <w:sz w:val="19"/>
              </w:rPr>
              <w:t>Shared Buffer Hit %</w:t>
            </w:r>
          </w:p>
        </w:tc>
        <w:tc>
          <w:tcPr>
            <w:tcW w:type="dxa" w:w="864"/>
            <w:shd w:fill="1E3A8A"/>
          </w:tcPr>
          <w:p>
            <w:pPr>
              <w:jc w:val="left"/>
            </w:pPr>
            <w:r>
              <w:rPr>
                <w:rFonts w:ascii="Calibri" w:hAnsi="Calibri"/>
                <w:b/>
                <w:color w:val="FFFFFF"/>
                <w:sz w:val="19"/>
              </w:rPr>
              <w:t>p50 (ms)</w:t>
            </w:r>
          </w:p>
        </w:tc>
        <w:tc>
          <w:tcPr>
            <w:tcW w:type="dxa" w:w="864"/>
            <w:shd w:fill="1E3A8A"/>
          </w:tcPr>
          <w:p>
            <w:pPr>
              <w:jc w:val="left"/>
            </w:pPr>
            <w:r>
              <w:rPr>
                <w:rFonts w:ascii="Calibri" w:hAnsi="Calibri"/>
                <w:b/>
                <w:color w:val="FFFFFF"/>
                <w:sz w:val="19"/>
              </w:rPr>
              <w:t>p95 (ms)</w:t>
            </w:r>
          </w:p>
        </w:tc>
        <w:tc>
          <w:tcPr>
            <w:tcW w:type="dxa" w:w="864"/>
            <w:shd w:fill="1E3A8A"/>
          </w:tcPr>
          <w:p>
            <w:pPr>
              <w:jc w:val="left"/>
            </w:pPr>
            <w:r>
              <w:rPr>
                <w:rFonts w:ascii="Calibri" w:hAnsi="Calibri"/>
                <w:b/>
                <w:color w:val="FFFFFF"/>
                <w:sz w:val="19"/>
              </w:rPr>
              <w:t>p99 (ms)</w:t>
            </w:r>
          </w:p>
        </w:tc>
        <w:tc>
          <w:tcPr>
            <w:tcW w:type="dxa" w:w="1152"/>
            <w:shd w:fill="1E3A8A"/>
          </w:tcPr>
          <w:p>
            <w:pPr>
              <w:jc w:val="left"/>
            </w:pPr>
            <w:r>
              <w:rPr>
                <w:rFonts w:ascii="Calibri" w:hAnsi="Calibri"/>
                <w:b/>
                <w:color w:val="FFFFFF"/>
                <w:sz w:val="19"/>
              </w:rPr>
              <w:t>Target SLA</w:t>
            </w:r>
          </w:p>
        </w:tc>
      </w:tr>
      <w:tr>
        <w:tc>
          <w:tcPr>
            <w:tcW w:type="dxa" w:w="1728"/>
            <w:shd w:fill="FFFFFF"/>
          </w:tcPr>
          <w:p>
            <w:pPr>
              <w:jc w:val="left"/>
            </w:pPr>
            <w:r>
              <w:rPr>
                <w:rFonts w:ascii="Calibri" w:hAnsi="Calibri"/>
                <w:color w:val="334155"/>
                <w:sz w:val="18"/>
              </w:rPr>
              <w:t>Candidate Discovery</w:t>
            </w:r>
          </w:p>
        </w:tc>
        <w:tc>
          <w:tcPr>
            <w:tcW w:type="dxa" w:w="2592"/>
            <w:shd w:fill="FFFFFF"/>
          </w:tcPr>
          <w:p>
            <w:pPr>
              <w:jc w:val="left"/>
            </w:pPr>
            <w:r>
              <w:rPr>
                <w:rFonts w:ascii="Calibri" w:hAnsi="Calibri"/>
                <w:color w:val="334155"/>
                <w:sz w:val="18"/>
              </w:rPr>
              <w:t>Candidate search with privacy exclusion anti-join and skill trigrams</w:t>
            </w:r>
          </w:p>
        </w:tc>
        <w:tc>
          <w:tcPr>
            <w:tcW w:type="dxa" w:w="1296"/>
            <w:shd w:fill="FFFFFF"/>
          </w:tcPr>
          <w:p>
            <w:pPr>
              <w:jc w:val="left"/>
            </w:pPr>
            <w:r>
              <w:rPr>
                <w:rFonts w:ascii="Calibri" w:hAnsi="Calibri"/>
                <w:color w:val="334155"/>
                <w:sz w:val="18"/>
              </w:rPr>
              <w:t>99.8%</w:t>
            </w:r>
          </w:p>
        </w:tc>
        <w:tc>
          <w:tcPr>
            <w:tcW w:type="dxa" w:w="864"/>
            <w:shd w:fill="FFFFFF"/>
          </w:tcPr>
          <w:p>
            <w:pPr>
              <w:jc w:val="left"/>
            </w:pPr>
            <w:r>
              <w:rPr>
                <w:rFonts w:ascii="Calibri" w:hAnsi="Calibri"/>
                <w:color w:val="334155"/>
                <w:sz w:val="18"/>
              </w:rPr>
              <w:t>0.14 ms</w:t>
            </w:r>
          </w:p>
        </w:tc>
        <w:tc>
          <w:tcPr>
            <w:tcW w:type="dxa" w:w="864"/>
            <w:shd w:fill="FFFFFF"/>
          </w:tcPr>
          <w:p>
            <w:pPr>
              <w:jc w:val="left"/>
            </w:pPr>
            <w:r>
              <w:rPr>
                <w:rFonts w:ascii="Calibri" w:hAnsi="Calibri"/>
                <w:color w:val="334155"/>
                <w:sz w:val="18"/>
              </w:rPr>
              <w:t>0.32 ms</w:t>
            </w:r>
          </w:p>
        </w:tc>
        <w:tc>
          <w:tcPr>
            <w:tcW w:type="dxa" w:w="864"/>
            <w:shd w:fill="FFFFFF"/>
          </w:tcPr>
          <w:p>
            <w:pPr>
              <w:jc w:val="left"/>
            </w:pPr>
            <w:r>
              <w:rPr>
                <w:rFonts w:ascii="Calibri" w:hAnsi="Calibri"/>
                <w:color w:val="334155"/>
                <w:sz w:val="18"/>
              </w:rPr>
              <w:t>0.58 ms</w:t>
            </w:r>
          </w:p>
        </w:tc>
        <w:tc>
          <w:tcPr>
            <w:tcW w:type="dxa" w:w="1152"/>
            <w:shd w:fill="FFFFFF"/>
          </w:tcPr>
          <w:p>
            <w:pPr>
              <w:jc w:val="left"/>
            </w:pPr>
            <w:r>
              <w:rPr>
                <w:rFonts w:ascii="Calibri" w:hAnsi="Calibri"/>
                <w:color w:val="334155"/>
                <w:sz w:val="18"/>
              </w:rPr>
              <w:t>&lt; 10.0 ms</w:t>
            </w:r>
          </w:p>
        </w:tc>
      </w:tr>
      <w:tr>
        <w:tc>
          <w:tcPr>
            <w:tcW w:type="dxa" w:w="1728"/>
            <w:shd w:fill="F8FAFC"/>
          </w:tcPr>
          <w:p>
            <w:pPr>
              <w:jc w:val="left"/>
            </w:pPr>
            <w:r>
              <w:rPr>
                <w:rFonts w:ascii="Calibri" w:hAnsi="Calibri"/>
                <w:color w:val="334155"/>
                <w:sz w:val="18"/>
              </w:rPr>
              <w:t>Requisition Pipeline</w:t>
            </w:r>
          </w:p>
        </w:tc>
        <w:tc>
          <w:tcPr>
            <w:tcW w:type="dxa" w:w="2592"/>
            <w:shd w:fill="F8FAFC"/>
          </w:tcPr>
          <w:p>
            <w:pPr>
              <w:jc w:val="left"/>
            </w:pPr>
            <w:r>
              <w:rPr>
                <w:rFonts w:ascii="Calibri" w:hAnsi="Calibri"/>
                <w:color w:val="334155"/>
                <w:sz w:val="18"/>
              </w:rPr>
              <w:t>Funnel aggregation and candidate stage drop-off analysis</w:t>
            </w:r>
          </w:p>
        </w:tc>
        <w:tc>
          <w:tcPr>
            <w:tcW w:type="dxa" w:w="1296"/>
            <w:shd w:fill="F8FAFC"/>
          </w:tcPr>
          <w:p>
            <w:pPr>
              <w:jc w:val="left"/>
            </w:pPr>
            <w:r>
              <w:rPr>
                <w:rFonts w:ascii="Calibri" w:hAnsi="Calibri"/>
                <w:color w:val="334155"/>
                <w:sz w:val="18"/>
              </w:rPr>
              <w:t>99.6%</w:t>
            </w:r>
          </w:p>
        </w:tc>
        <w:tc>
          <w:tcPr>
            <w:tcW w:type="dxa" w:w="864"/>
            <w:shd w:fill="F8FAFC"/>
          </w:tcPr>
          <w:p>
            <w:pPr>
              <w:jc w:val="left"/>
            </w:pPr>
            <w:r>
              <w:rPr>
                <w:rFonts w:ascii="Calibri" w:hAnsi="Calibri"/>
                <w:color w:val="334155"/>
                <w:sz w:val="18"/>
              </w:rPr>
              <w:t>0.18 ms</w:t>
            </w:r>
          </w:p>
        </w:tc>
        <w:tc>
          <w:tcPr>
            <w:tcW w:type="dxa" w:w="864"/>
            <w:shd w:fill="F8FAFC"/>
          </w:tcPr>
          <w:p>
            <w:pPr>
              <w:jc w:val="left"/>
            </w:pPr>
            <w:r>
              <w:rPr>
                <w:rFonts w:ascii="Calibri" w:hAnsi="Calibri"/>
                <w:color w:val="334155"/>
                <w:sz w:val="18"/>
              </w:rPr>
              <w:t>0.41 ms</w:t>
            </w:r>
          </w:p>
        </w:tc>
        <w:tc>
          <w:tcPr>
            <w:tcW w:type="dxa" w:w="864"/>
            <w:shd w:fill="F8FAFC"/>
          </w:tcPr>
          <w:p>
            <w:pPr>
              <w:jc w:val="left"/>
            </w:pPr>
            <w:r>
              <w:rPr>
                <w:rFonts w:ascii="Calibri" w:hAnsi="Calibri"/>
                <w:color w:val="334155"/>
                <w:sz w:val="18"/>
              </w:rPr>
              <w:t>0.72 ms</w:t>
            </w:r>
          </w:p>
        </w:tc>
        <w:tc>
          <w:tcPr>
            <w:tcW w:type="dxa" w:w="1152"/>
            <w:shd w:fill="F8FAFC"/>
          </w:tcPr>
          <w:p>
            <w:pPr>
              <w:jc w:val="left"/>
            </w:pPr>
            <w:r>
              <w:rPr>
                <w:rFonts w:ascii="Calibri" w:hAnsi="Calibri"/>
                <w:color w:val="334155"/>
                <w:sz w:val="18"/>
              </w:rPr>
              <w:t>&lt; 15.0 ms</w:t>
            </w:r>
          </w:p>
        </w:tc>
      </w:tr>
      <w:tr>
        <w:tc>
          <w:tcPr>
            <w:tcW w:type="dxa" w:w="1728"/>
            <w:shd w:fill="FFFFFF"/>
          </w:tcPr>
          <w:p>
            <w:pPr>
              <w:jc w:val="left"/>
            </w:pPr>
            <w:r>
              <w:rPr>
                <w:rFonts w:ascii="Calibri" w:hAnsi="Calibri"/>
                <w:color w:val="334155"/>
                <w:sz w:val="18"/>
              </w:rPr>
              <w:t>Application Submissions</w:t>
            </w:r>
          </w:p>
        </w:tc>
        <w:tc>
          <w:tcPr>
            <w:tcW w:type="dxa" w:w="2592"/>
            <w:shd w:fill="FFFFFF"/>
          </w:tcPr>
          <w:p>
            <w:pPr>
              <w:jc w:val="left"/>
            </w:pPr>
            <w:r>
              <w:rPr>
                <w:rFonts w:ascii="Calibri" w:hAnsi="Calibri"/>
                <w:color w:val="334155"/>
                <w:sz w:val="18"/>
              </w:rPr>
              <w:t>Transactional job application insert with questionnaire validation</w:t>
            </w:r>
          </w:p>
        </w:tc>
        <w:tc>
          <w:tcPr>
            <w:tcW w:type="dxa" w:w="1296"/>
            <w:shd w:fill="FFFFFF"/>
          </w:tcPr>
          <w:p>
            <w:pPr>
              <w:jc w:val="left"/>
            </w:pPr>
            <w:r>
              <w:rPr>
                <w:rFonts w:ascii="Calibri" w:hAnsi="Calibri"/>
                <w:color w:val="334155"/>
                <w:sz w:val="18"/>
              </w:rPr>
              <w:t>99.9%</w:t>
            </w:r>
          </w:p>
        </w:tc>
        <w:tc>
          <w:tcPr>
            <w:tcW w:type="dxa" w:w="864"/>
            <w:shd w:fill="FFFFFF"/>
          </w:tcPr>
          <w:p>
            <w:pPr>
              <w:jc w:val="left"/>
            </w:pPr>
            <w:r>
              <w:rPr>
                <w:rFonts w:ascii="Calibri" w:hAnsi="Calibri"/>
                <w:color w:val="334155"/>
                <w:sz w:val="18"/>
              </w:rPr>
              <w:t>0.08 ms</w:t>
            </w:r>
          </w:p>
        </w:tc>
        <w:tc>
          <w:tcPr>
            <w:tcW w:type="dxa" w:w="864"/>
            <w:shd w:fill="FFFFFF"/>
          </w:tcPr>
          <w:p>
            <w:pPr>
              <w:jc w:val="left"/>
            </w:pPr>
            <w:r>
              <w:rPr>
                <w:rFonts w:ascii="Calibri" w:hAnsi="Calibri"/>
                <w:color w:val="334155"/>
                <w:sz w:val="18"/>
              </w:rPr>
              <w:t>0.19 ms</w:t>
            </w:r>
          </w:p>
        </w:tc>
        <w:tc>
          <w:tcPr>
            <w:tcW w:type="dxa" w:w="864"/>
            <w:shd w:fill="FFFFFF"/>
          </w:tcPr>
          <w:p>
            <w:pPr>
              <w:jc w:val="left"/>
            </w:pPr>
            <w:r>
              <w:rPr>
                <w:rFonts w:ascii="Calibri" w:hAnsi="Calibri"/>
                <w:color w:val="334155"/>
                <w:sz w:val="18"/>
              </w:rPr>
              <w:t>0.35 ms</w:t>
            </w:r>
          </w:p>
        </w:tc>
        <w:tc>
          <w:tcPr>
            <w:tcW w:type="dxa" w:w="1152"/>
            <w:shd w:fill="FFFFFF"/>
          </w:tcPr>
          <w:p>
            <w:pPr>
              <w:jc w:val="left"/>
            </w:pPr>
            <w:r>
              <w:rPr>
                <w:rFonts w:ascii="Calibri" w:hAnsi="Calibri"/>
                <w:color w:val="334155"/>
                <w:sz w:val="18"/>
              </w:rPr>
              <w:t>&lt; 5.0 ms</w:t>
            </w:r>
          </w:p>
        </w:tc>
      </w:tr>
      <w:tr>
        <w:tc>
          <w:tcPr>
            <w:tcW w:type="dxa" w:w="1728"/>
            <w:shd w:fill="F8FAFC"/>
          </w:tcPr>
          <w:p>
            <w:pPr>
              <w:jc w:val="left"/>
            </w:pPr>
            <w:r>
              <w:rPr>
                <w:rFonts w:ascii="Calibri" w:hAnsi="Calibri"/>
                <w:color w:val="334155"/>
                <w:sz w:val="18"/>
              </w:rPr>
              <w:t>Gig Availability Lookup</w:t>
            </w:r>
          </w:p>
        </w:tc>
        <w:tc>
          <w:tcPr>
            <w:tcW w:type="dxa" w:w="2592"/>
            <w:shd w:fill="F8FAFC"/>
          </w:tcPr>
          <w:p>
            <w:pPr>
              <w:jc w:val="left"/>
            </w:pPr>
            <w:r>
              <w:rPr>
                <w:rFonts w:ascii="Calibri" w:hAnsi="Calibri"/>
                <w:color w:val="334155"/>
                <w:sz w:val="18"/>
              </w:rPr>
              <w:t>GiST non-overlapping contract calendar availability verification</w:t>
            </w:r>
          </w:p>
        </w:tc>
        <w:tc>
          <w:tcPr>
            <w:tcW w:type="dxa" w:w="1296"/>
            <w:shd w:fill="F8FAFC"/>
          </w:tcPr>
          <w:p>
            <w:pPr>
              <w:jc w:val="left"/>
            </w:pPr>
            <w:r>
              <w:rPr>
                <w:rFonts w:ascii="Calibri" w:hAnsi="Calibri"/>
                <w:color w:val="334155"/>
                <w:sz w:val="18"/>
              </w:rPr>
              <w:t>99.7%</w:t>
            </w:r>
          </w:p>
        </w:tc>
        <w:tc>
          <w:tcPr>
            <w:tcW w:type="dxa" w:w="864"/>
            <w:shd w:fill="F8FAFC"/>
          </w:tcPr>
          <w:p>
            <w:pPr>
              <w:jc w:val="left"/>
            </w:pPr>
            <w:r>
              <w:rPr>
                <w:rFonts w:ascii="Calibri" w:hAnsi="Calibri"/>
                <w:color w:val="334155"/>
                <w:sz w:val="18"/>
              </w:rPr>
              <w:t>0.22 ms</w:t>
            </w:r>
          </w:p>
        </w:tc>
        <w:tc>
          <w:tcPr>
            <w:tcW w:type="dxa" w:w="864"/>
            <w:shd w:fill="F8FAFC"/>
          </w:tcPr>
          <w:p>
            <w:pPr>
              <w:jc w:val="left"/>
            </w:pPr>
            <w:r>
              <w:rPr>
                <w:rFonts w:ascii="Calibri" w:hAnsi="Calibri"/>
                <w:color w:val="334155"/>
                <w:sz w:val="18"/>
              </w:rPr>
              <w:t>0.48 ms</w:t>
            </w:r>
          </w:p>
        </w:tc>
        <w:tc>
          <w:tcPr>
            <w:tcW w:type="dxa" w:w="864"/>
            <w:shd w:fill="F8FAFC"/>
          </w:tcPr>
          <w:p>
            <w:pPr>
              <w:jc w:val="left"/>
            </w:pPr>
            <w:r>
              <w:rPr>
                <w:rFonts w:ascii="Calibri" w:hAnsi="Calibri"/>
                <w:color w:val="334155"/>
                <w:sz w:val="18"/>
              </w:rPr>
              <w:t>0.85 ms</w:t>
            </w:r>
          </w:p>
        </w:tc>
        <w:tc>
          <w:tcPr>
            <w:tcW w:type="dxa" w:w="1152"/>
            <w:shd w:fill="F8FAFC"/>
          </w:tcPr>
          <w:p>
            <w:pPr>
              <w:jc w:val="left"/>
            </w:pPr>
            <w:r>
              <w:rPr>
                <w:rFonts w:ascii="Calibri" w:hAnsi="Calibri"/>
                <w:color w:val="334155"/>
                <w:sz w:val="18"/>
              </w:rPr>
              <w:t>&lt; 20.0 ms</w:t>
            </w:r>
          </w:p>
        </w:tc>
      </w:tr>
      <w:tr>
        <w:tc>
          <w:tcPr>
            <w:tcW w:type="dxa" w:w="1728"/>
            <w:shd w:fill="FFFFFF"/>
          </w:tcPr>
          <w:p>
            <w:pPr>
              <w:jc w:val="left"/>
            </w:pPr>
            <w:r>
              <w:rPr>
                <w:rFonts w:ascii="Calibri" w:hAnsi="Calibri"/>
                <w:color w:val="334155"/>
                <w:sz w:val="18"/>
              </w:rPr>
              <w:t>Double-Entry Ledger</w:t>
            </w:r>
          </w:p>
        </w:tc>
        <w:tc>
          <w:tcPr>
            <w:tcW w:type="dxa" w:w="2592"/>
            <w:shd w:fill="FFFFFF"/>
          </w:tcPr>
          <w:p>
            <w:pPr>
              <w:jc w:val="left"/>
            </w:pPr>
            <w:r>
              <w:rPr>
                <w:rFonts w:ascii="Calibri" w:hAnsi="Calibri"/>
                <w:color w:val="334155"/>
                <w:sz w:val="18"/>
              </w:rPr>
              <w:t>Append-only wallet posting and running balance synchronization</w:t>
            </w:r>
          </w:p>
        </w:tc>
        <w:tc>
          <w:tcPr>
            <w:tcW w:type="dxa" w:w="1296"/>
            <w:shd w:fill="FFFFFF"/>
          </w:tcPr>
          <w:p>
            <w:pPr>
              <w:jc w:val="left"/>
            </w:pPr>
            <w:r>
              <w:rPr>
                <w:rFonts w:ascii="Calibri" w:hAnsi="Calibri"/>
                <w:color w:val="334155"/>
                <w:sz w:val="18"/>
              </w:rPr>
              <w:t>99.9%</w:t>
            </w:r>
          </w:p>
        </w:tc>
        <w:tc>
          <w:tcPr>
            <w:tcW w:type="dxa" w:w="864"/>
            <w:shd w:fill="FFFFFF"/>
          </w:tcPr>
          <w:p>
            <w:pPr>
              <w:jc w:val="left"/>
            </w:pPr>
            <w:r>
              <w:rPr>
                <w:rFonts w:ascii="Calibri" w:hAnsi="Calibri"/>
                <w:color w:val="334155"/>
                <w:sz w:val="18"/>
              </w:rPr>
              <w:t>0.11 ms</w:t>
            </w:r>
          </w:p>
        </w:tc>
        <w:tc>
          <w:tcPr>
            <w:tcW w:type="dxa" w:w="864"/>
            <w:shd w:fill="FFFFFF"/>
          </w:tcPr>
          <w:p>
            <w:pPr>
              <w:jc w:val="left"/>
            </w:pPr>
            <w:r>
              <w:rPr>
                <w:rFonts w:ascii="Calibri" w:hAnsi="Calibri"/>
                <w:color w:val="334155"/>
                <w:sz w:val="18"/>
              </w:rPr>
              <w:t>0.25 ms</w:t>
            </w:r>
          </w:p>
        </w:tc>
        <w:tc>
          <w:tcPr>
            <w:tcW w:type="dxa" w:w="864"/>
            <w:shd w:fill="FFFFFF"/>
          </w:tcPr>
          <w:p>
            <w:pPr>
              <w:jc w:val="left"/>
            </w:pPr>
            <w:r>
              <w:rPr>
                <w:rFonts w:ascii="Calibri" w:hAnsi="Calibri"/>
                <w:color w:val="334155"/>
                <w:sz w:val="18"/>
              </w:rPr>
              <w:t>0.42 ms</w:t>
            </w:r>
          </w:p>
        </w:tc>
        <w:tc>
          <w:tcPr>
            <w:tcW w:type="dxa" w:w="1152"/>
            <w:shd w:fill="FFFFFF"/>
          </w:tcPr>
          <w:p>
            <w:pPr>
              <w:jc w:val="left"/>
            </w:pPr>
            <w:r>
              <w:rPr>
                <w:rFonts w:ascii="Calibri" w:hAnsi="Calibri"/>
                <w:color w:val="334155"/>
                <w:sz w:val="18"/>
              </w:rPr>
              <w:t>&lt; 10.0 ms</w:t>
            </w:r>
          </w:p>
        </w:tc>
      </w:tr>
      <w:tr>
        <w:tc>
          <w:tcPr>
            <w:tcW w:type="dxa" w:w="1728"/>
            <w:shd w:fill="F8FAFC"/>
          </w:tcPr>
          <w:p>
            <w:pPr>
              <w:jc w:val="left"/>
            </w:pPr>
            <w:r>
              <w:rPr>
                <w:rFonts w:ascii="Calibri" w:hAnsi="Calibri"/>
                <w:color w:val="334155"/>
                <w:sz w:val="18"/>
              </w:rPr>
              <w:t>Tenant Job Requirements</w:t>
            </w:r>
          </w:p>
        </w:tc>
        <w:tc>
          <w:tcPr>
            <w:tcW w:type="dxa" w:w="2592"/>
            <w:shd w:fill="F8FAFC"/>
          </w:tcPr>
          <w:p>
            <w:pPr>
              <w:jc w:val="left"/>
            </w:pPr>
            <w:r>
              <w:rPr>
                <w:rFonts w:ascii="Calibri" w:hAnsi="Calibri"/>
                <w:color w:val="334155"/>
                <w:sz w:val="18"/>
              </w:rPr>
              <w:t>Multi-tenant Row-Level Security (RLS) filtered query</w:t>
            </w:r>
          </w:p>
        </w:tc>
        <w:tc>
          <w:tcPr>
            <w:tcW w:type="dxa" w:w="1296"/>
            <w:shd w:fill="F8FAFC"/>
          </w:tcPr>
          <w:p>
            <w:pPr>
              <w:jc w:val="left"/>
            </w:pPr>
            <w:r>
              <w:rPr>
                <w:rFonts w:ascii="Calibri" w:hAnsi="Calibri"/>
                <w:color w:val="334155"/>
                <w:sz w:val="18"/>
              </w:rPr>
              <w:t>99.8%</w:t>
            </w:r>
          </w:p>
        </w:tc>
        <w:tc>
          <w:tcPr>
            <w:tcW w:type="dxa" w:w="864"/>
            <w:shd w:fill="F8FAFC"/>
          </w:tcPr>
          <w:p>
            <w:pPr>
              <w:jc w:val="left"/>
            </w:pPr>
            <w:r>
              <w:rPr>
                <w:rFonts w:ascii="Calibri" w:hAnsi="Calibri"/>
                <w:color w:val="334155"/>
                <w:sz w:val="18"/>
              </w:rPr>
              <w:t>0.09 ms</w:t>
            </w:r>
          </w:p>
        </w:tc>
        <w:tc>
          <w:tcPr>
            <w:tcW w:type="dxa" w:w="864"/>
            <w:shd w:fill="F8FAFC"/>
          </w:tcPr>
          <w:p>
            <w:pPr>
              <w:jc w:val="left"/>
            </w:pPr>
            <w:r>
              <w:rPr>
                <w:rFonts w:ascii="Calibri" w:hAnsi="Calibri"/>
                <w:color w:val="334155"/>
                <w:sz w:val="18"/>
              </w:rPr>
              <w:t>0.21 ms</w:t>
            </w:r>
          </w:p>
        </w:tc>
        <w:tc>
          <w:tcPr>
            <w:tcW w:type="dxa" w:w="864"/>
            <w:shd w:fill="F8FAFC"/>
          </w:tcPr>
          <w:p>
            <w:pPr>
              <w:jc w:val="left"/>
            </w:pPr>
            <w:r>
              <w:rPr>
                <w:rFonts w:ascii="Calibri" w:hAnsi="Calibri"/>
                <w:color w:val="334155"/>
                <w:sz w:val="18"/>
              </w:rPr>
              <w:t>0.38 ms</w:t>
            </w:r>
          </w:p>
        </w:tc>
        <w:tc>
          <w:tcPr>
            <w:tcW w:type="dxa" w:w="1152"/>
            <w:shd w:fill="F8FAFC"/>
          </w:tcPr>
          <w:p>
            <w:pPr>
              <w:jc w:val="left"/>
            </w:pPr>
            <w:r>
              <w:rPr>
                <w:rFonts w:ascii="Calibri" w:hAnsi="Calibri"/>
                <w:color w:val="334155"/>
                <w:sz w:val="18"/>
              </w:rPr>
              <w:t>&lt; 8.0 ms</w:t>
            </w:r>
          </w:p>
        </w:tc>
      </w:tr>
      <w:tr>
        <w:tc>
          <w:tcPr>
            <w:tcW w:type="dxa" w:w="1728"/>
            <w:shd w:fill="FFFFFF"/>
          </w:tcPr>
          <w:p>
            <w:pPr>
              <w:jc w:val="left"/>
            </w:pPr>
            <w:r>
              <w:rPr>
                <w:rFonts w:ascii="Calibri" w:hAnsi="Calibri"/>
                <w:color w:val="334155"/>
                <w:sz w:val="18"/>
              </w:rPr>
              <w:t>Audit Trail Append</w:t>
            </w:r>
          </w:p>
        </w:tc>
        <w:tc>
          <w:tcPr>
            <w:tcW w:type="dxa" w:w="2592"/>
            <w:shd w:fill="FFFFFF"/>
          </w:tcPr>
          <w:p>
            <w:pPr>
              <w:jc w:val="left"/>
            </w:pPr>
            <w:r>
              <w:rPr>
                <w:rFonts w:ascii="Calibri" w:hAnsi="Calibri"/>
                <w:color w:val="334155"/>
                <w:sz w:val="18"/>
              </w:rPr>
              <w:t>JSONB pre/post state capture with client metadata recording</w:t>
            </w:r>
          </w:p>
        </w:tc>
        <w:tc>
          <w:tcPr>
            <w:tcW w:type="dxa" w:w="1296"/>
            <w:shd w:fill="FFFFFF"/>
          </w:tcPr>
          <w:p>
            <w:pPr>
              <w:jc w:val="left"/>
            </w:pPr>
            <w:r>
              <w:rPr>
                <w:rFonts w:ascii="Calibri" w:hAnsi="Calibri"/>
                <w:color w:val="334155"/>
                <w:sz w:val="18"/>
              </w:rPr>
              <w:t>99.9%</w:t>
            </w:r>
          </w:p>
        </w:tc>
        <w:tc>
          <w:tcPr>
            <w:tcW w:type="dxa" w:w="864"/>
            <w:shd w:fill="FFFFFF"/>
          </w:tcPr>
          <w:p>
            <w:pPr>
              <w:jc w:val="left"/>
            </w:pPr>
            <w:r>
              <w:rPr>
                <w:rFonts w:ascii="Calibri" w:hAnsi="Calibri"/>
                <w:color w:val="334155"/>
                <w:sz w:val="18"/>
              </w:rPr>
              <w:t>0.05 ms</w:t>
            </w:r>
          </w:p>
        </w:tc>
        <w:tc>
          <w:tcPr>
            <w:tcW w:type="dxa" w:w="864"/>
            <w:shd w:fill="FFFFFF"/>
          </w:tcPr>
          <w:p>
            <w:pPr>
              <w:jc w:val="left"/>
            </w:pPr>
            <w:r>
              <w:rPr>
                <w:rFonts w:ascii="Calibri" w:hAnsi="Calibri"/>
                <w:color w:val="334155"/>
                <w:sz w:val="18"/>
              </w:rPr>
              <w:t>0.12 ms</w:t>
            </w:r>
          </w:p>
        </w:tc>
        <w:tc>
          <w:tcPr>
            <w:tcW w:type="dxa" w:w="864"/>
            <w:shd w:fill="FFFFFF"/>
          </w:tcPr>
          <w:p>
            <w:pPr>
              <w:jc w:val="left"/>
            </w:pPr>
            <w:r>
              <w:rPr>
                <w:rFonts w:ascii="Calibri" w:hAnsi="Calibri"/>
                <w:color w:val="334155"/>
                <w:sz w:val="18"/>
              </w:rPr>
              <w:t>0.22 ms</w:t>
            </w:r>
          </w:p>
        </w:tc>
        <w:tc>
          <w:tcPr>
            <w:tcW w:type="dxa" w:w="1152"/>
            <w:shd w:fill="FFFFFF"/>
          </w:tcPr>
          <w:p>
            <w:pPr>
              <w:jc w:val="left"/>
            </w:pPr>
            <w:r>
              <w:rPr>
                <w:rFonts w:ascii="Calibri" w:hAnsi="Calibri"/>
                <w:color w:val="334155"/>
                <w:sz w:val="18"/>
              </w:rPr>
              <w:t>&lt; 5.0 ms</w:t>
            </w:r>
          </w:p>
        </w:tc>
      </w:tr>
    </w:tbl>
    <w:p/>
    <w:p>
      <w:pPr>
        <w:keepNext/>
        <w:spacing w:before="320" w:after="120"/>
      </w:pPr>
      <w:r>
        <w:rPr>
          <w:rFonts w:ascii="Calibri" w:hAnsi="Calibri"/>
          <w:b/>
          <w:color w:val="0F172A"/>
          <w:sz w:val="30"/>
        </w:rPr>
        <w:t>4. High Availability, Resilience &amp; Disaster Recovery</w:t>
      </w:r>
    </w:p>
    <w:p>
      <w:pPr>
        <w:spacing w:before="0" w:after="120" w:line="276" w:lineRule="auto"/>
      </w:pPr>
      <w:r>
        <w:rPr>
          <w:rFonts w:ascii="Calibri" w:hAnsi="Calibri"/>
          <w:color w:val="334155"/>
          <w:sz w:val="21"/>
        </w:rPr>
        <w:t>Talentra guarantees enterprise business continuity through strict recovery objectives:</w:t>
      </w:r>
    </w:p>
    <w:p>
      <w:pPr>
        <w:pStyle w:val="ListBullet"/>
        <w:spacing w:before="0" w:after="60" w:line="276" w:lineRule="auto"/>
      </w:pPr>
      <w:r>
        <w:rPr>
          <w:rFonts w:ascii="Calibri" w:hAnsi="Calibri"/>
          <w:b/>
          <w:color w:val="0F172A"/>
          <w:sz w:val="21"/>
        </w:rPr>
        <w:t xml:space="preserve">Recovery Point Objective (RPO) &lt; 1 Minute: </w:t>
      </w:r>
      <w:r>
        <w:rPr>
          <w:rFonts w:ascii="Calibri" w:hAnsi="Calibri"/>
          <w:color w:val="334155"/>
          <w:sz w:val="21"/>
        </w:rPr>
        <w:t>Maximum acceptable data loss window during catastrophic hardware or network failure. Enforced via PostgreSQL continuous Write-Ahead Log (WAL) archiving and synchronous streaming replication to an isolated standby node.</w:t>
      </w:r>
    </w:p>
    <w:p>
      <w:pPr>
        <w:pStyle w:val="ListBullet"/>
        <w:spacing w:before="0" w:after="60" w:line="276" w:lineRule="auto"/>
      </w:pPr>
      <w:r>
        <w:rPr>
          <w:rFonts w:ascii="Calibri" w:hAnsi="Calibri"/>
          <w:b/>
          <w:color w:val="0F172A"/>
          <w:sz w:val="21"/>
        </w:rPr>
        <w:t xml:space="preserve">Recovery Time Objective (RTO) &lt; 15 Minutes: </w:t>
      </w:r>
      <w:r>
        <w:rPr>
          <w:rFonts w:ascii="Calibri" w:hAnsi="Calibri"/>
          <w:color w:val="334155"/>
          <w:sz w:val="21"/>
        </w:rPr>
        <w:t>Maximum acceptable downtime to achieve full database recovery. Enforced via automated failover orchestration, daily physical pg_basebackup snapshots, and point-in-time recovery (PITR) scripts.</w:t>
      </w:r>
    </w:p>
    <w:p>
      <w:pPr>
        <w:pStyle w:val="ListBullet"/>
        <w:spacing w:before="0" w:after="60" w:line="276" w:lineRule="auto"/>
      </w:pPr>
      <w:r>
        <w:rPr>
          <w:rFonts w:ascii="Calibri" w:hAnsi="Calibri"/>
          <w:b/>
          <w:color w:val="0F172A"/>
          <w:sz w:val="21"/>
        </w:rPr>
        <w:t xml:space="preserve">Platform High Availability (HA) Target: </w:t>
      </w:r>
      <w:r>
        <w:rPr>
          <w:rFonts w:ascii="Calibri" w:hAnsi="Calibri"/>
          <w:color w:val="334155"/>
          <w:sz w:val="21"/>
        </w:rPr>
        <w:t>Targeting 99.95% system uptime (&lt; 4.38 hours unplanned downtime per calendar year) excluding pre-scheduled zero-downtime rolling maintenance windows.</w:t>
      </w:r>
    </w:p>
    <w:p>
      <w:pPr>
        <w:keepNext/>
        <w:spacing w:before="320" w:after="120"/>
      </w:pPr>
      <w:r>
        <w:rPr>
          <w:rFonts w:ascii="Calibri" w:hAnsi="Calibri"/>
          <w:b/>
          <w:color w:val="0F172A"/>
          <w:sz w:val="30"/>
        </w:rPr>
        <w:t>5. Security, Cryptography &amp; Privacy Invariants</w:t>
      </w:r>
    </w:p>
    <w:p>
      <w:pPr>
        <w:spacing w:before="0" w:after="120" w:line="276" w:lineRule="auto"/>
      </w:pPr>
      <w:r>
        <w:rPr>
          <w:rFonts w:ascii="Calibri" w:hAnsi="Calibri"/>
          <w:color w:val="334155"/>
          <w:sz w:val="21"/>
        </w:rPr>
        <w:t>Talentra treats data security and candidate confidentiality as fundamental architectural invariants enforced directly in the database engine:</w:t>
      </w:r>
    </w:p>
    <w:p>
      <w:pPr>
        <w:pStyle w:val="ListBullet"/>
        <w:spacing w:before="0" w:after="60" w:line="276" w:lineRule="auto"/>
      </w:pPr>
      <w:r>
        <w:rPr>
          <w:rFonts w:ascii="Calibri" w:hAnsi="Calibri"/>
          <w:b/>
          <w:color w:val="0F172A"/>
          <w:sz w:val="21"/>
        </w:rPr>
        <w:t xml:space="preserve">PII Column-Level Encryption: </w:t>
      </w:r>
      <w:r>
        <w:rPr>
          <w:rFonts w:ascii="Calibri" w:hAnsi="Calibri"/>
          <w:color w:val="334155"/>
          <w:sz w:val="21"/>
        </w:rPr>
        <w:t>All candidate phone numbers, secondary contact details, and national identification numbers (PAN, GSTIN, Aadhaar, SSN) are encrypted at rest using AES-256-GCM envelope encryption with per-tenant Data Encryption Keys (DEKs).</w:t>
      </w:r>
    </w:p>
    <w:p>
      <w:pPr>
        <w:pStyle w:val="ListBullet"/>
        <w:spacing w:before="0" w:after="60" w:line="276" w:lineRule="auto"/>
      </w:pPr>
      <w:r>
        <w:rPr>
          <w:rFonts w:ascii="Calibri" w:hAnsi="Calibri"/>
          <w:b/>
          <w:color w:val="0F172A"/>
          <w:sz w:val="21"/>
        </w:rPr>
        <w:t xml:space="preserve">Cryptographic Blind Indexing: </w:t>
      </w:r>
      <w:r>
        <w:rPr>
          <w:rFonts w:ascii="Calibri" w:hAnsi="Calibri"/>
          <w:color w:val="334155"/>
          <w:sz w:val="21"/>
        </w:rPr>
        <w:t>Deterministic unique checks and fast exact-match lookups are achieved on encrypted attributes using HMAC-SHA256 blind indexing with a cryptographically isolated secret pepper, preventing plaintext leakage.</w:t>
      </w:r>
    </w:p>
    <w:p>
      <w:pPr>
        <w:pStyle w:val="ListBullet"/>
        <w:spacing w:before="0" w:after="60" w:line="276" w:lineRule="auto"/>
      </w:pPr>
      <w:r>
        <w:rPr>
          <w:rFonts w:ascii="Calibri" w:hAnsi="Calibri"/>
          <w:b/>
          <w:color w:val="0F172A"/>
          <w:sz w:val="21"/>
        </w:rPr>
        <w:t xml:space="preserve">Engine-Enforced Multi-Tenancy: </w:t>
      </w:r>
      <w:r>
        <w:rPr>
          <w:rFonts w:ascii="Calibri" w:hAnsi="Calibri"/>
          <w:color w:val="334155"/>
          <w:sz w:val="21"/>
        </w:rPr>
        <w:t>Recruiter queries and candidate records are isolated at the database engine level via PostgreSQL Row-Level Security (RLS) keyed to the session setting app.current_org_id.</w:t>
      </w:r>
    </w:p>
    <w:p>
      <w:pPr>
        <w:pStyle w:val="ListBullet"/>
        <w:spacing w:before="0" w:after="60" w:line="276" w:lineRule="auto"/>
      </w:pPr>
      <w:r>
        <w:rPr>
          <w:rFonts w:ascii="Calibri" w:hAnsi="Calibri"/>
          <w:b/>
          <w:color w:val="0F172A"/>
          <w:sz w:val="21"/>
        </w:rPr>
        <w:t xml:space="preserve">Immutable Audit Logging: </w:t>
      </w:r>
      <w:r>
        <w:rPr>
          <w:rFonts w:ascii="Calibri" w:hAnsi="Calibri"/>
          <w:color w:val="334155"/>
          <w:sz w:val="21"/>
        </w:rPr>
        <w:t>Critical operational, administrative, and compliance mutations are written to monthly partitioned, append-only audit tables with trigger-level exception blocks on UPDATE and DELETE operations.</w:t>
      </w:r>
    </w:p>
    <w:p>
      <w:pPr>
        <w:keepNext/>
        <w:spacing w:before="320" w:after="120"/>
      </w:pPr>
      <w:r>
        <w:rPr>
          <w:rFonts w:ascii="Calibri" w:hAnsi="Calibri"/>
          <w:b/>
          <w:color w:val="0F172A"/>
          <w:sz w:val="30"/>
        </w:rPr>
        <w:t>6. Regulatory Compliance Register</w:t>
      </w:r>
    </w:p>
    <w:p>
      <w:pPr>
        <w:spacing w:before="0" w:after="120" w:line="276" w:lineRule="auto"/>
      </w:pPr>
      <w:r>
        <w:rPr>
          <w:rFonts w:ascii="Calibri" w:hAnsi="Calibri"/>
          <w:color w:val="334155"/>
          <w:sz w:val="21"/>
        </w:rPr>
        <w:t>The platform architecture explicitly addresses all statutory mandates governing modern digital recruitment: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Pr>
          <w:p>
            <w:pPr>
              <w:jc w:val="left"/>
            </w:pPr>
            <w:r>
              <w:rPr>
                <w:rFonts w:ascii="Calibri" w:hAnsi="Calibri"/>
                <w:b/>
                <w:color w:val="FFFFFF"/>
                <w:sz w:val="19"/>
              </w:rPr>
              <w:t>Regulation / Framework</w:t>
            </w:r>
          </w:p>
        </w:tc>
        <w:tc>
          <w:tcPr>
            <w:tcW w:type="dxa" w:w="1584"/>
            <w:shd w:fill="1E3A8A"/>
          </w:tcPr>
          <w:p>
            <w:pPr>
              <w:jc w:val="left"/>
            </w:pPr>
            <w:r>
              <w:rPr>
                <w:rFonts w:ascii="Calibri" w:hAnsi="Calibri"/>
                <w:b/>
                <w:color w:val="FFFFFF"/>
                <w:sz w:val="19"/>
              </w:rPr>
              <w:t>Jurisdiction / Scope</w:t>
            </w:r>
          </w:p>
        </w:tc>
        <w:tc>
          <w:tcPr>
            <w:tcW w:type="dxa" w:w="3168"/>
            <w:shd w:fill="1E3A8A"/>
          </w:tcPr>
          <w:p>
            <w:pPr>
              <w:jc w:val="left"/>
            </w:pPr>
            <w:r>
              <w:rPr>
                <w:rFonts w:ascii="Calibri" w:hAnsi="Calibri"/>
                <w:b/>
                <w:color w:val="FFFFFF"/>
                <w:sz w:val="19"/>
              </w:rPr>
              <w:t>Mandate Description</w:t>
            </w:r>
          </w:p>
        </w:tc>
        <w:tc>
          <w:tcPr>
            <w:tcW w:type="dxa" w:w="2880"/>
            <w:shd w:fill="1E3A8A"/>
          </w:tcPr>
          <w:p>
            <w:pPr>
              <w:jc w:val="left"/>
            </w:pPr>
            <w:r>
              <w:rPr>
                <w:rFonts w:ascii="Calibri" w:hAnsi="Calibri"/>
                <w:b/>
                <w:color w:val="FFFFFF"/>
                <w:sz w:val="19"/>
              </w:rPr>
              <w:t>Database Implementation Mechanism</w:t>
            </w:r>
          </w:p>
        </w:tc>
      </w:tr>
      <w:tr>
        <w:tc>
          <w:tcPr>
            <w:tcW w:type="dxa" w:w="1728"/>
            <w:shd w:fill="FFFFFF"/>
          </w:tcPr>
          <w:p>
            <w:pPr>
              <w:jc w:val="left"/>
            </w:pPr>
            <w:r>
              <w:rPr>
                <w:rFonts w:ascii="Calibri" w:hAnsi="Calibri"/>
                <w:color w:val="334155"/>
                <w:sz w:val="18"/>
              </w:rPr>
              <w:t>DPDP Act 2023</w:t>
            </w:r>
          </w:p>
        </w:tc>
        <w:tc>
          <w:tcPr>
            <w:tcW w:type="dxa" w:w="1584"/>
            <w:shd w:fill="FFFFFF"/>
          </w:tcPr>
          <w:p>
            <w:pPr>
              <w:jc w:val="left"/>
            </w:pPr>
            <w:r>
              <w:rPr>
                <w:rFonts w:ascii="Calibri" w:hAnsi="Calibri"/>
                <w:color w:val="334155"/>
                <w:sz w:val="18"/>
              </w:rPr>
              <w:t>India (National)</w:t>
            </w:r>
          </w:p>
        </w:tc>
        <w:tc>
          <w:tcPr>
            <w:tcW w:type="dxa" w:w="3168"/>
            <w:shd w:fill="FFFFFF"/>
          </w:tcPr>
          <w:p>
            <w:pPr>
              <w:jc w:val="left"/>
            </w:pPr>
            <w:r>
              <w:rPr>
                <w:rFonts w:ascii="Calibri" w:hAnsi="Calibri"/>
                <w:color w:val="334155"/>
                <w:sz w:val="18"/>
              </w:rPr>
              <w:t>Explicit, granular consent for data processing, right to withdraw consent, right to correction and erasure.</w:t>
            </w:r>
          </w:p>
        </w:tc>
        <w:tc>
          <w:tcPr>
            <w:tcW w:type="dxa" w:w="2880"/>
            <w:shd w:fill="FFFFFF"/>
          </w:tcPr>
          <w:p>
            <w:pPr>
              <w:jc w:val="left"/>
            </w:pPr>
            <w:r>
              <w:rPr>
                <w:rFonts w:ascii="Calibri" w:hAnsi="Calibri"/>
                <w:color w:val="334155"/>
                <w:sz w:val="18"/>
              </w:rPr>
              <w:t>Separate consent_record table, consent status transitions, automated erasure pipelines preserving anonymized audit logs.</w:t>
            </w:r>
          </w:p>
        </w:tc>
      </w:tr>
      <w:tr>
        <w:tc>
          <w:tcPr>
            <w:tcW w:type="dxa" w:w="1728"/>
            <w:shd w:fill="F8FAFC"/>
          </w:tcPr>
          <w:p>
            <w:pPr>
              <w:jc w:val="left"/>
            </w:pPr>
            <w:r>
              <w:rPr>
                <w:rFonts w:ascii="Calibri" w:hAnsi="Calibri"/>
                <w:color w:val="334155"/>
                <w:sz w:val="18"/>
              </w:rPr>
              <w:t>GDPR (EU 2016/679)</w:t>
            </w:r>
          </w:p>
        </w:tc>
        <w:tc>
          <w:tcPr>
            <w:tcW w:type="dxa" w:w="1584"/>
            <w:shd w:fill="F8FAFC"/>
          </w:tcPr>
          <w:p>
            <w:pPr>
              <w:jc w:val="left"/>
            </w:pPr>
            <w:r>
              <w:rPr>
                <w:rFonts w:ascii="Calibri" w:hAnsi="Calibri"/>
                <w:color w:val="334155"/>
                <w:sz w:val="18"/>
              </w:rPr>
              <w:t>European Union</w:t>
            </w:r>
          </w:p>
        </w:tc>
        <w:tc>
          <w:tcPr>
            <w:tcW w:type="dxa" w:w="3168"/>
            <w:shd w:fill="F8FAFC"/>
          </w:tcPr>
          <w:p>
            <w:pPr>
              <w:jc w:val="left"/>
            </w:pPr>
            <w:r>
              <w:rPr>
                <w:rFonts w:ascii="Calibri" w:hAnsi="Calibri"/>
                <w:color w:val="334155"/>
                <w:sz w:val="18"/>
              </w:rPr>
              <w:t>Article 17 (Right to Erasure / RTBF), Article 25 (Privacy by Design), Article 32 (Security of Processing).</w:t>
            </w:r>
          </w:p>
        </w:tc>
        <w:tc>
          <w:tcPr>
            <w:tcW w:type="dxa" w:w="2880"/>
            <w:shd w:fill="F8FAFC"/>
          </w:tcPr>
          <w:p>
            <w:pPr>
              <w:jc w:val="left"/>
            </w:pPr>
            <w:r>
              <w:rPr>
                <w:rFonts w:ascii="Calibri" w:hAnsi="Calibri"/>
                <w:color w:val="334155"/>
                <w:sz w:val="18"/>
              </w:rPr>
              <w:t>Soft-delete cascades via deleted_at, cryptographic key shredding, and candidate_block_list anti-join views.</w:t>
            </w:r>
          </w:p>
        </w:tc>
      </w:tr>
      <w:tr>
        <w:tc>
          <w:tcPr>
            <w:tcW w:type="dxa" w:w="1728"/>
            <w:shd w:fill="FFFFFF"/>
          </w:tcPr>
          <w:p>
            <w:pPr>
              <w:jc w:val="left"/>
            </w:pPr>
            <w:r>
              <w:rPr>
                <w:rFonts w:ascii="Calibri" w:hAnsi="Calibri"/>
                <w:color w:val="334155"/>
                <w:sz w:val="18"/>
              </w:rPr>
              <w:t>ISO/IEC 27001</w:t>
            </w:r>
          </w:p>
        </w:tc>
        <w:tc>
          <w:tcPr>
            <w:tcW w:type="dxa" w:w="1584"/>
            <w:shd w:fill="FFFFFF"/>
          </w:tcPr>
          <w:p>
            <w:pPr>
              <w:jc w:val="left"/>
            </w:pPr>
            <w:r>
              <w:rPr>
                <w:rFonts w:ascii="Calibri" w:hAnsi="Calibri"/>
                <w:color w:val="334155"/>
                <w:sz w:val="18"/>
              </w:rPr>
              <w:t>Global Enterprise</w:t>
            </w:r>
          </w:p>
        </w:tc>
        <w:tc>
          <w:tcPr>
            <w:tcW w:type="dxa" w:w="3168"/>
            <w:shd w:fill="FFFFFF"/>
          </w:tcPr>
          <w:p>
            <w:pPr>
              <w:jc w:val="left"/>
            </w:pPr>
            <w:r>
              <w:rPr>
                <w:rFonts w:ascii="Calibri" w:hAnsi="Calibri"/>
                <w:color w:val="334155"/>
                <w:sz w:val="18"/>
              </w:rPr>
              <w:t>Access control management, audit logging, system integrity verification, and incident traceability.</w:t>
            </w:r>
          </w:p>
        </w:tc>
        <w:tc>
          <w:tcPr>
            <w:tcW w:type="dxa" w:w="2880"/>
            <w:shd w:fill="FFFFFF"/>
          </w:tcPr>
          <w:p>
            <w:pPr>
              <w:jc w:val="left"/>
            </w:pPr>
            <w:r>
              <w:rPr>
                <w:rFonts w:ascii="Calibri" w:hAnsi="Calibri"/>
                <w:color w:val="334155"/>
                <w:sz w:val="18"/>
              </w:rPr>
              <w:t>system_audit_event table with pre/post JSONB snapshots, IP recording, and immutable triggers.</w:t>
            </w:r>
          </w:p>
        </w:tc>
      </w:tr>
      <w:tr>
        <w:tc>
          <w:tcPr>
            <w:tcW w:type="dxa" w:w="1728"/>
            <w:shd w:fill="F8FAFC"/>
          </w:tcPr>
          <w:p>
            <w:pPr>
              <w:jc w:val="left"/>
            </w:pPr>
            <w:r>
              <w:rPr>
                <w:rFonts w:ascii="Calibri" w:hAnsi="Calibri"/>
                <w:color w:val="334155"/>
                <w:sz w:val="18"/>
              </w:rPr>
              <w:t>SOC 2 Type II</w:t>
            </w:r>
          </w:p>
        </w:tc>
        <w:tc>
          <w:tcPr>
            <w:tcW w:type="dxa" w:w="1584"/>
            <w:shd w:fill="F8FAFC"/>
          </w:tcPr>
          <w:p>
            <w:pPr>
              <w:jc w:val="left"/>
            </w:pPr>
            <w:r>
              <w:rPr>
                <w:rFonts w:ascii="Calibri" w:hAnsi="Calibri"/>
                <w:color w:val="334155"/>
                <w:sz w:val="18"/>
              </w:rPr>
              <w:t>Global Enterprise</w:t>
            </w:r>
          </w:p>
        </w:tc>
        <w:tc>
          <w:tcPr>
            <w:tcW w:type="dxa" w:w="3168"/>
            <w:shd w:fill="F8FAFC"/>
          </w:tcPr>
          <w:p>
            <w:pPr>
              <w:jc w:val="left"/>
            </w:pPr>
            <w:r>
              <w:rPr>
                <w:rFonts w:ascii="Calibri" w:hAnsi="Calibri"/>
                <w:color w:val="334155"/>
                <w:sz w:val="18"/>
              </w:rPr>
              <w:t>Security, Availability, Processing Integrity, Confidentiality, and Privacy trust principles.</w:t>
            </w:r>
          </w:p>
        </w:tc>
        <w:tc>
          <w:tcPr>
            <w:tcW w:type="dxa" w:w="2880"/>
            <w:shd w:fill="F8FAFC"/>
          </w:tcPr>
          <w:p>
            <w:pPr>
              <w:jc w:val="left"/>
            </w:pPr>
            <w:r>
              <w:rPr>
                <w:rFonts w:ascii="Calibri" w:hAnsi="Calibri"/>
                <w:color w:val="334155"/>
                <w:sz w:val="18"/>
              </w:rPr>
              <w:t>Enforced RBAC, single-active-session device locking procedure, double-entry financial ledger invariants.</w:t>
            </w:r>
          </w:p>
        </w:tc>
      </w:tr>
      <w:tr>
        <w:tc>
          <w:tcPr>
            <w:tcW w:type="dxa" w:w="1728"/>
            <w:shd w:fill="FFFFFF"/>
          </w:tcPr>
          <w:p>
            <w:pPr>
              <w:jc w:val="left"/>
            </w:pPr>
            <w:r>
              <w:rPr>
                <w:rFonts w:ascii="Calibri" w:hAnsi="Calibri"/>
                <w:color w:val="334155"/>
                <w:sz w:val="18"/>
              </w:rPr>
              <w:t>PCI-DSS Level 1</w:t>
            </w:r>
          </w:p>
        </w:tc>
        <w:tc>
          <w:tcPr>
            <w:tcW w:type="dxa" w:w="1584"/>
            <w:shd w:fill="FFFFFF"/>
          </w:tcPr>
          <w:p>
            <w:pPr>
              <w:jc w:val="left"/>
            </w:pPr>
            <w:r>
              <w:rPr>
                <w:rFonts w:ascii="Calibri" w:hAnsi="Calibri"/>
                <w:color w:val="334155"/>
                <w:sz w:val="18"/>
              </w:rPr>
              <w:t>Payment Card Industry</w:t>
            </w:r>
          </w:p>
        </w:tc>
        <w:tc>
          <w:tcPr>
            <w:tcW w:type="dxa" w:w="3168"/>
            <w:shd w:fill="FFFFFF"/>
          </w:tcPr>
          <w:p>
            <w:pPr>
              <w:jc w:val="left"/>
            </w:pPr>
            <w:r>
              <w:rPr>
                <w:rFonts w:ascii="Calibri" w:hAnsi="Calibri"/>
                <w:color w:val="334155"/>
                <w:sz w:val="18"/>
              </w:rPr>
              <w:t>Zero storage of Primary Account Numbers (PAN), CVV/CVC, or magnetic stripe cardholder data.</w:t>
            </w:r>
          </w:p>
        </w:tc>
        <w:tc>
          <w:tcPr>
            <w:tcW w:type="dxa" w:w="2880"/>
            <w:shd w:fill="FFFFFF"/>
          </w:tcPr>
          <w:p>
            <w:pPr>
              <w:jc w:val="left"/>
            </w:pPr>
            <w:r>
              <w:rPr>
                <w:rFonts w:ascii="Calibri" w:hAnsi="Calibri"/>
                <w:color w:val="334155"/>
                <w:sz w:val="18"/>
              </w:rPr>
              <w:t>Explicit boundary: Talentra delegates all cardholder data collection to external PSPs (Stripe/Razorpay); stores only payment_token and charge_id.</w:t>
            </w:r>
          </w:p>
        </w:tc>
      </w:tr>
    </w:tbl>
    <w:p/>
    <w:p>
      <w:pPr>
        <w:keepNext/>
        <w:spacing w:before="320" w:after="120"/>
      </w:pPr>
      <w:r>
        <w:rPr>
          <w:rFonts w:ascii="Calibri" w:hAnsi="Calibri"/>
          <w:b/>
          <w:color w:val="0F172A"/>
          <w:sz w:val="30"/>
        </w:rPr>
        <w:t>7. Accessibility &amp; Universal Usability (WCAG 2.1 AA)</w:t>
      </w:r>
    </w:p>
    <w:p>
      <w:pPr>
        <w:spacing w:before="0" w:after="120" w:line="276" w:lineRule="auto"/>
      </w:pPr>
      <w:r>
        <w:rPr>
          <w:rFonts w:ascii="Calibri" w:hAnsi="Calibri"/>
          <w:color w:val="334155"/>
          <w:sz w:val="21"/>
        </w:rPr>
        <w:t>Database metadata explicitly supports assistive technologies and global usability standards:</w:t>
      </w:r>
    </w:p>
    <w:p>
      <w:pPr>
        <w:pStyle w:val="ListBullet"/>
        <w:spacing w:before="0" w:after="60" w:line="276" w:lineRule="auto"/>
      </w:pPr>
      <w:r>
        <w:rPr>
          <w:rFonts w:ascii="Calibri" w:hAnsi="Calibri"/>
          <w:b/>
          <w:color w:val="0F172A"/>
          <w:sz w:val="21"/>
        </w:rPr>
        <w:t xml:space="preserve">Screen Reader Metadata: </w:t>
      </w:r>
      <w:r>
        <w:rPr>
          <w:rFonts w:ascii="Calibri" w:hAnsi="Calibri"/>
          <w:color w:val="334155"/>
          <w:sz w:val="21"/>
        </w:rPr>
        <w:t>All media assets, company logos, and candidate verification badges store localized alternative text descriptions and ARIA labels in relational columns.</w:t>
      </w:r>
    </w:p>
    <w:p>
      <w:pPr>
        <w:pStyle w:val="ListBullet"/>
        <w:spacing w:before="0" w:after="60" w:line="276" w:lineRule="auto"/>
      </w:pPr>
      <w:r>
        <w:rPr>
          <w:rFonts w:ascii="Calibri" w:hAnsi="Calibri"/>
          <w:b/>
          <w:color w:val="0F172A"/>
          <w:sz w:val="21"/>
        </w:rPr>
        <w:t xml:space="preserve">Multilingual &amp; Internationalization Support: </w:t>
      </w:r>
      <w:r>
        <w:rPr>
          <w:rFonts w:ascii="Calibri" w:hAnsi="Calibri"/>
          <w:color w:val="334155"/>
          <w:sz w:val="21"/>
        </w:rPr>
        <w:t>User profile and enterprise configuration tables store ISO-639-1 language codes, ISO-3166-1 country codes, and IANA timezone identifiers to support localized date formatting, currency symbols, and multi-script typography.</w:t>
      </w:r>
    </w:p>
    <w:p>
      <w:pPr>
        <w:keepNext/>
        <w:spacing w:before="320" w:after="120"/>
      </w:pPr>
      <w:r>
        <w:rPr>
          <w:rFonts w:ascii="Calibri" w:hAnsi="Calibri"/>
          <w:b/>
          <w:color w:val="0F172A"/>
          <w:sz w:val="30"/>
        </w:rPr>
        <w:t>8. NFR Register &amp; Verification Methodologies</w:t>
      </w:r>
    </w:p>
    <w:p>
      <w:pPr>
        <w:spacing w:before="0" w:after="120" w:line="276" w:lineRule="auto"/>
      </w:pPr>
      <w:r>
        <w:rPr>
          <w:rFonts w:ascii="Calibri" w:hAnsi="Calibri"/>
          <w:color w:val="334155"/>
          <w:sz w:val="21"/>
        </w:rPr>
        <w:t>Every NFR is assigned an explicit numeric target, testing methodology, and gate criteria: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3A8A"/>
          </w:tcPr>
          <w:p>
            <w:pPr>
              <w:jc w:val="left"/>
            </w:pPr>
            <w:r>
              <w:rPr>
                <w:rFonts w:ascii="Calibri" w:hAnsi="Calibri"/>
                <w:b/>
                <w:color w:val="FFFFFF"/>
                <w:sz w:val="19"/>
              </w:rPr>
              <w:t>NFR ID</w:t>
            </w:r>
          </w:p>
        </w:tc>
        <w:tc>
          <w:tcPr>
            <w:tcW w:type="dxa" w:w="1440"/>
            <w:shd w:fill="1E3A8A"/>
          </w:tcPr>
          <w:p>
            <w:pPr>
              <w:jc w:val="left"/>
            </w:pPr>
            <w:r>
              <w:rPr>
                <w:rFonts w:ascii="Calibri" w:hAnsi="Calibri"/>
                <w:b/>
                <w:color w:val="FFFFFF"/>
                <w:sz w:val="19"/>
              </w:rPr>
              <w:t>Category</w:t>
            </w:r>
          </w:p>
        </w:tc>
        <w:tc>
          <w:tcPr>
            <w:tcW w:type="dxa" w:w="2592"/>
            <w:shd w:fill="1E3A8A"/>
          </w:tcPr>
          <w:p>
            <w:pPr>
              <w:jc w:val="left"/>
            </w:pPr>
            <w:r>
              <w:rPr>
                <w:rFonts w:ascii="Calibri" w:hAnsi="Calibri"/>
                <w:b/>
                <w:color w:val="FFFFFF"/>
                <w:sz w:val="19"/>
              </w:rPr>
              <w:t>Specific Metric</w:t>
            </w:r>
          </w:p>
        </w:tc>
        <w:tc>
          <w:tcPr>
            <w:tcW w:type="dxa" w:w="1584"/>
            <w:shd w:fill="1E3A8A"/>
          </w:tcPr>
          <w:p>
            <w:pPr>
              <w:jc w:val="left"/>
            </w:pPr>
            <w:r>
              <w:rPr>
                <w:rFonts w:ascii="Calibri" w:hAnsi="Calibri"/>
                <w:b/>
                <w:color w:val="FFFFFF"/>
                <w:sz w:val="19"/>
              </w:rPr>
              <w:t>Numeric Target</w:t>
            </w:r>
          </w:p>
        </w:tc>
        <w:tc>
          <w:tcPr>
            <w:tcW w:type="dxa" w:w="2592"/>
            <w:shd w:fill="1E3A8A"/>
          </w:tcPr>
          <w:p>
            <w:pPr>
              <w:jc w:val="left"/>
            </w:pPr>
            <w:r>
              <w:rPr>
                <w:rFonts w:ascii="Calibri" w:hAnsi="Calibri"/>
                <w:b/>
                <w:color w:val="FFFFFF"/>
                <w:sz w:val="19"/>
              </w:rPr>
              <w:t>Verification Test Harness</w:t>
            </w:r>
          </w:p>
        </w:tc>
      </w:tr>
      <w:tr>
        <w:tc>
          <w:tcPr>
            <w:tcW w:type="dxa" w:w="1152"/>
            <w:shd w:fill="FFFFFF"/>
          </w:tcPr>
          <w:p>
            <w:pPr>
              <w:jc w:val="left"/>
            </w:pPr>
            <w:r>
              <w:rPr>
                <w:rFonts w:ascii="Calibri" w:hAnsi="Calibri"/>
                <w:color w:val="334155"/>
                <w:sz w:val="18"/>
              </w:rPr>
              <w:t>NFR-01</w:t>
            </w:r>
          </w:p>
        </w:tc>
        <w:tc>
          <w:tcPr>
            <w:tcW w:type="dxa" w:w="1440"/>
            <w:shd w:fill="FFFFFF"/>
          </w:tcPr>
          <w:p>
            <w:pPr>
              <w:jc w:val="left"/>
            </w:pPr>
            <w:r>
              <w:rPr>
                <w:rFonts w:ascii="Calibri" w:hAnsi="Calibri"/>
                <w:color w:val="334155"/>
                <w:sz w:val="18"/>
              </w:rPr>
              <w:t>Throughput</w:t>
            </w:r>
          </w:p>
        </w:tc>
        <w:tc>
          <w:tcPr>
            <w:tcW w:type="dxa" w:w="2592"/>
            <w:shd w:fill="FFFFFF"/>
          </w:tcPr>
          <w:p>
            <w:pPr>
              <w:jc w:val="left"/>
            </w:pPr>
            <w:r>
              <w:rPr>
                <w:rFonts w:ascii="Calibri" w:hAnsi="Calibri"/>
                <w:color w:val="334155"/>
                <w:sz w:val="18"/>
              </w:rPr>
              <w:t>Sustained write transactions</w:t>
            </w:r>
          </w:p>
        </w:tc>
        <w:tc>
          <w:tcPr>
            <w:tcW w:type="dxa" w:w="1584"/>
            <w:shd w:fill="FFFFFF"/>
          </w:tcPr>
          <w:p>
            <w:pPr>
              <w:jc w:val="left"/>
            </w:pPr>
            <w:r>
              <w:rPr>
                <w:rFonts w:ascii="Calibri" w:hAnsi="Calibri"/>
                <w:color w:val="334155"/>
                <w:sz w:val="18"/>
              </w:rPr>
              <w:t>&gt;= 1,500 TPS</w:t>
            </w:r>
          </w:p>
        </w:tc>
        <w:tc>
          <w:tcPr>
            <w:tcW w:type="dxa" w:w="2592"/>
            <w:shd w:fill="FFFFFF"/>
          </w:tcPr>
          <w:p>
            <w:pPr>
              <w:jc w:val="left"/>
            </w:pPr>
            <w:r>
              <w:rPr>
                <w:rFonts w:ascii="Calibri" w:hAnsi="Calibri"/>
                <w:color w:val="334155"/>
                <w:sz w:val="18"/>
              </w:rPr>
              <w:t>pgbench simulated concurrent application ingest</w:t>
            </w:r>
          </w:p>
        </w:tc>
      </w:tr>
      <w:tr>
        <w:tc>
          <w:tcPr>
            <w:tcW w:type="dxa" w:w="1152"/>
            <w:shd w:fill="F8FAFC"/>
          </w:tcPr>
          <w:p>
            <w:pPr>
              <w:jc w:val="left"/>
            </w:pPr>
            <w:r>
              <w:rPr>
                <w:rFonts w:ascii="Calibri" w:hAnsi="Calibri"/>
                <w:color w:val="334155"/>
                <w:sz w:val="18"/>
              </w:rPr>
              <w:t>NFR-02</w:t>
            </w:r>
          </w:p>
        </w:tc>
        <w:tc>
          <w:tcPr>
            <w:tcW w:type="dxa" w:w="1440"/>
            <w:shd w:fill="F8FAFC"/>
          </w:tcPr>
          <w:p>
            <w:pPr>
              <w:jc w:val="left"/>
            </w:pPr>
            <w:r>
              <w:rPr>
                <w:rFonts w:ascii="Calibri" w:hAnsi="Calibri"/>
                <w:color w:val="334155"/>
                <w:sz w:val="18"/>
              </w:rPr>
              <w:t>Latency</w:t>
            </w:r>
          </w:p>
        </w:tc>
        <w:tc>
          <w:tcPr>
            <w:tcW w:type="dxa" w:w="2592"/>
            <w:shd w:fill="F8FAFC"/>
          </w:tcPr>
          <w:p>
            <w:pPr>
              <w:jc w:val="left"/>
            </w:pPr>
            <w:r>
              <w:rPr>
                <w:rFonts w:ascii="Calibri" w:hAnsi="Calibri"/>
                <w:color w:val="334155"/>
                <w:sz w:val="18"/>
              </w:rPr>
              <w:t>Candidate search p95 latency</w:t>
            </w:r>
          </w:p>
        </w:tc>
        <w:tc>
          <w:tcPr>
            <w:tcW w:type="dxa" w:w="1584"/>
            <w:shd w:fill="F8FAFC"/>
          </w:tcPr>
          <w:p>
            <w:pPr>
              <w:jc w:val="left"/>
            </w:pPr>
            <w:r>
              <w:rPr>
                <w:rFonts w:ascii="Calibri" w:hAnsi="Calibri"/>
                <w:color w:val="334155"/>
                <w:sz w:val="18"/>
              </w:rPr>
              <w:t>&lt;= 10.0 ms</w:t>
            </w:r>
          </w:p>
        </w:tc>
        <w:tc>
          <w:tcPr>
            <w:tcW w:type="dxa" w:w="2592"/>
            <w:shd w:fill="F8FAFC"/>
          </w:tcPr>
          <w:p>
            <w:pPr>
              <w:jc w:val="left"/>
            </w:pPr>
            <w:r>
              <w:rPr>
                <w:rFonts w:ascii="Calibri" w:hAnsi="Calibri"/>
                <w:color w:val="334155"/>
                <w:sz w:val="18"/>
              </w:rPr>
              <w:t>Warm-cache pg_stat_statements query execution profile</w:t>
            </w:r>
          </w:p>
        </w:tc>
      </w:tr>
      <w:tr>
        <w:tc>
          <w:tcPr>
            <w:tcW w:type="dxa" w:w="1152"/>
            <w:shd w:fill="FFFFFF"/>
          </w:tcPr>
          <w:p>
            <w:pPr>
              <w:jc w:val="left"/>
            </w:pPr>
            <w:r>
              <w:rPr>
                <w:rFonts w:ascii="Calibri" w:hAnsi="Calibri"/>
                <w:color w:val="334155"/>
                <w:sz w:val="18"/>
              </w:rPr>
              <w:t>NFR-03</w:t>
            </w:r>
          </w:p>
        </w:tc>
        <w:tc>
          <w:tcPr>
            <w:tcW w:type="dxa" w:w="1440"/>
            <w:shd w:fill="FFFFFF"/>
          </w:tcPr>
          <w:p>
            <w:pPr>
              <w:jc w:val="left"/>
            </w:pPr>
            <w:r>
              <w:rPr>
                <w:rFonts w:ascii="Calibri" w:hAnsi="Calibri"/>
                <w:color w:val="334155"/>
                <w:sz w:val="18"/>
              </w:rPr>
              <w:t>Latency</w:t>
            </w:r>
          </w:p>
        </w:tc>
        <w:tc>
          <w:tcPr>
            <w:tcW w:type="dxa" w:w="2592"/>
            <w:shd w:fill="FFFFFF"/>
          </w:tcPr>
          <w:p>
            <w:pPr>
              <w:jc w:val="left"/>
            </w:pPr>
            <w:r>
              <w:rPr>
                <w:rFonts w:ascii="Calibri" w:hAnsi="Calibri"/>
                <w:color w:val="334155"/>
                <w:sz w:val="18"/>
              </w:rPr>
              <w:t>Transactional application insert</w:t>
            </w:r>
          </w:p>
        </w:tc>
        <w:tc>
          <w:tcPr>
            <w:tcW w:type="dxa" w:w="1584"/>
            <w:shd w:fill="FFFFFF"/>
          </w:tcPr>
          <w:p>
            <w:pPr>
              <w:jc w:val="left"/>
            </w:pPr>
            <w:r>
              <w:rPr>
                <w:rFonts w:ascii="Calibri" w:hAnsi="Calibri"/>
                <w:color w:val="334155"/>
                <w:sz w:val="18"/>
              </w:rPr>
              <w:t>&lt;= 5.0 ms</w:t>
            </w:r>
          </w:p>
        </w:tc>
        <w:tc>
          <w:tcPr>
            <w:tcW w:type="dxa" w:w="2592"/>
            <w:shd w:fill="FFFFFF"/>
          </w:tcPr>
          <w:p>
            <w:pPr>
              <w:jc w:val="left"/>
            </w:pPr>
            <w:r>
              <w:rPr>
                <w:rFonts w:ascii="Calibri" w:hAnsi="Calibri"/>
                <w:color w:val="334155"/>
                <w:sz w:val="18"/>
              </w:rPr>
              <w:t>Single-row INSERT regression suite with questionnaire answers</w:t>
            </w:r>
          </w:p>
        </w:tc>
      </w:tr>
      <w:tr>
        <w:tc>
          <w:tcPr>
            <w:tcW w:type="dxa" w:w="1152"/>
            <w:shd w:fill="F8FAFC"/>
          </w:tcPr>
          <w:p>
            <w:pPr>
              <w:jc w:val="left"/>
            </w:pPr>
            <w:r>
              <w:rPr>
                <w:rFonts w:ascii="Calibri" w:hAnsi="Calibri"/>
                <w:color w:val="334155"/>
                <w:sz w:val="18"/>
              </w:rPr>
              <w:t>NFR-04</w:t>
            </w:r>
          </w:p>
        </w:tc>
        <w:tc>
          <w:tcPr>
            <w:tcW w:type="dxa" w:w="1440"/>
            <w:shd w:fill="F8FAFC"/>
          </w:tcPr>
          <w:p>
            <w:pPr>
              <w:jc w:val="left"/>
            </w:pPr>
            <w:r>
              <w:rPr>
                <w:rFonts w:ascii="Calibri" w:hAnsi="Calibri"/>
                <w:color w:val="334155"/>
                <w:sz w:val="18"/>
              </w:rPr>
              <w:t>Availability</w:t>
            </w:r>
          </w:p>
        </w:tc>
        <w:tc>
          <w:tcPr>
            <w:tcW w:type="dxa" w:w="2592"/>
            <w:shd w:fill="F8FAFC"/>
          </w:tcPr>
          <w:p>
            <w:pPr>
              <w:jc w:val="left"/>
            </w:pPr>
            <w:r>
              <w:rPr>
                <w:rFonts w:ascii="Calibri" w:hAnsi="Calibri"/>
                <w:color w:val="334155"/>
                <w:sz w:val="18"/>
              </w:rPr>
              <w:t>Platform uptime percentage</w:t>
            </w:r>
          </w:p>
        </w:tc>
        <w:tc>
          <w:tcPr>
            <w:tcW w:type="dxa" w:w="1584"/>
            <w:shd w:fill="F8FAFC"/>
          </w:tcPr>
          <w:p>
            <w:pPr>
              <w:jc w:val="left"/>
            </w:pPr>
            <w:r>
              <w:rPr>
                <w:rFonts w:ascii="Calibri" w:hAnsi="Calibri"/>
                <w:color w:val="334155"/>
                <w:sz w:val="18"/>
              </w:rPr>
              <w:t>&gt;= 99.95%</w:t>
            </w:r>
          </w:p>
        </w:tc>
        <w:tc>
          <w:tcPr>
            <w:tcW w:type="dxa" w:w="2592"/>
            <w:shd w:fill="F8FAFC"/>
          </w:tcPr>
          <w:p>
            <w:pPr>
              <w:jc w:val="left"/>
            </w:pPr>
            <w:r>
              <w:rPr>
                <w:rFonts w:ascii="Calibri" w:hAnsi="Calibri"/>
                <w:color w:val="334155"/>
                <w:sz w:val="18"/>
              </w:rPr>
              <w:t>Synthetic health check probes every 15 seconds</w:t>
            </w:r>
          </w:p>
        </w:tc>
      </w:tr>
      <w:tr>
        <w:tc>
          <w:tcPr>
            <w:tcW w:type="dxa" w:w="1152"/>
            <w:shd w:fill="FFFFFF"/>
          </w:tcPr>
          <w:p>
            <w:pPr>
              <w:jc w:val="left"/>
            </w:pPr>
            <w:r>
              <w:rPr>
                <w:rFonts w:ascii="Calibri" w:hAnsi="Calibri"/>
                <w:color w:val="334155"/>
                <w:sz w:val="18"/>
              </w:rPr>
              <w:t>NFR-05</w:t>
            </w:r>
          </w:p>
        </w:tc>
        <w:tc>
          <w:tcPr>
            <w:tcW w:type="dxa" w:w="1440"/>
            <w:shd w:fill="FFFFFF"/>
          </w:tcPr>
          <w:p>
            <w:pPr>
              <w:jc w:val="left"/>
            </w:pPr>
            <w:r>
              <w:rPr>
                <w:rFonts w:ascii="Calibri" w:hAnsi="Calibri"/>
                <w:color w:val="334155"/>
                <w:sz w:val="18"/>
              </w:rPr>
              <w:t>Resilience</w:t>
            </w:r>
          </w:p>
        </w:tc>
        <w:tc>
          <w:tcPr>
            <w:tcW w:type="dxa" w:w="2592"/>
            <w:shd w:fill="FFFFFF"/>
          </w:tcPr>
          <w:p>
            <w:pPr>
              <w:jc w:val="left"/>
            </w:pPr>
            <w:r>
              <w:rPr>
                <w:rFonts w:ascii="Calibri" w:hAnsi="Calibri"/>
                <w:color w:val="334155"/>
                <w:sz w:val="18"/>
              </w:rPr>
              <w:t>Recovery Point Objective (RPO)</w:t>
            </w:r>
          </w:p>
        </w:tc>
        <w:tc>
          <w:tcPr>
            <w:tcW w:type="dxa" w:w="1584"/>
            <w:shd w:fill="FFFFFF"/>
          </w:tcPr>
          <w:p>
            <w:pPr>
              <w:jc w:val="left"/>
            </w:pPr>
            <w:r>
              <w:rPr>
                <w:rFonts w:ascii="Calibri" w:hAnsi="Calibri"/>
                <w:color w:val="334155"/>
                <w:sz w:val="18"/>
              </w:rPr>
              <w:t>&lt; 1.0 minute</w:t>
            </w:r>
          </w:p>
        </w:tc>
        <w:tc>
          <w:tcPr>
            <w:tcW w:type="dxa" w:w="2592"/>
            <w:shd w:fill="FFFFFF"/>
          </w:tcPr>
          <w:p>
            <w:pPr>
              <w:jc w:val="left"/>
            </w:pPr>
            <w:r>
              <w:rPr>
                <w:rFonts w:ascii="Calibri" w:hAnsi="Calibri"/>
                <w:color w:val="334155"/>
                <w:sz w:val="18"/>
              </w:rPr>
              <w:t>Continuous WAL archiving and streaming replication verification</w:t>
            </w:r>
          </w:p>
        </w:tc>
      </w:tr>
      <w:tr>
        <w:tc>
          <w:tcPr>
            <w:tcW w:type="dxa" w:w="1152"/>
            <w:shd w:fill="F8FAFC"/>
          </w:tcPr>
          <w:p>
            <w:pPr>
              <w:jc w:val="left"/>
            </w:pPr>
            <w:r>
              <w:rPr>
                <w:rFonts w:ascii="Calibri" w:hAnsi="Calibri"/>
                <w:color w:val="334155"/>
                <w:sz w:val="18"/>
              </w:rPr>
              <w:t>NFR-06</w:t>
            </w:r>
          </w:p>
        </w:tc>
        <w:tc>
          <w:tcPr>
            <w:tcW w:type="dxa" w:w="1440"/>
            <w:shd w:fill="F8FAFC"/>
          </w:tcPr>
          <w:p>
            <w:pPr>
              <w:jc w:val="left"/>
            </w:pPr>
            <w:r>
              <w:rPr>
                <w:rFonts w:ascii="Calibri" w:hAnsi="Calibri"/>
                <w:color w:val="334155"/>
                <w:sz w:val="18"/>
              </w:rPr>
              <w:t>Resilience</w:t>
            </w:r>
          </w:p>
        </w:tc>
        <w:tc>
          <w:tcPr>
            <w:tcW w:type="dxa" w:w="2592"/>
            <w:shd w:fill="F8FAFC"/>
          </w:tcPr>
          <w:p>
            <w:pPr>
              <w:jc w:val="left"/>
            </w:pPr>
            <w:r>
              <w:rPr>
                <w:rFonts w:ascii="Calibri" w:hAnsi="Calibri"/>
                <w:color w:val="334155"/>
                <w:sz w:val="18"/>
              </w:rPr>
              <w:t>Recovery Time Objective (RTO)</w:t>
            </w:r>
          </w:p>
        </w:tc>
        <w:tc>
          <w:tcPr>
            <w:tcW w:type="dxa" w:w="1584"/>
            <w:shd w:fill="F8FAFC"/>
          </w:tcPr>
          <w:p>
            <w:pPr>
              <w:jc w:val="left"/>
            </w:pPr>
            <w:r>
              <w:rPr>
                <w:rFonts w:ascii="Calibri" w:hAnsi="Calibri"/>
                <w:color w:val="334155"/>
                <w:sz w:val="18"/>
              </w:rPr>
              <w:t>&lt; 15.0 minutes</w:t>
            </w:r>
          </w:p>
        </w:tc>
        <w:tc>
          <w:tcPr>
            <w:tcW w:type="dxa" w:w="2592"/>
            <w:shd w:fill="F8FAFC"/>
          </w:tcPr>
          <w:p>
            <w:pPr>
              <w:jc w:val="left"/>
            </w:pPr>
            <w:r>
              <w:rPr>
                <w:rFonts w:ascii="Calibri" w:hAnsi="Calibri"/>
                <w:color w:val="334155"/>
                <w:sz w:val="18"/>
              </w:rPr>
              <w:t>Automated pg_basebackup restoration drill</w:t>
            </w:r>
          </w:p>
        </w:tc>
      </w:tr>
      <w:tr>
        <w:tc>
          <w:tcPr>
            <w:tcW w:type="dxa" w:w="1152"/>
            <w:shd w:fill="FFFFFF"/>
          </w:tcPr>
          <w:p>
            <w:pPr>
              <w:jc w:val="left"/>
            </w:pPr>
            <w:r>
              <w:rPr>
                <w:rFonts w:ascii="Calibri" w:hAnsi="Calibri"/>
                <w:color w:val="334155"/>
                <w:sz w:val="18"/>
              </w:rPr>
              <w:t>NFR-07</w:t>
            </w:r>
          </w:p>
        </w:tc>
        <w:tc>
          <w:tcPr>
            <w:tcW w:type="dxa" w:w="1440"/>
            <w:shd w:fill="FFFFFF"/>
          </w:tcPr>
          <w:p>
            <w:pPr>
              <w:jc w:val="left"/>
            </w:pPr>
            <w:r>
              <w:rPr>
                <w:rFonts w:ascii="Calibri" w:hAnsi="Calibri"/>
                <w:color w:val="334155"/>
                <w:sz w:val="18"/>
              </w:rPr>
              <w:t>Security</w:t>
            </w:r>
          </w:p>
        </w:tc>
        <w:tc>
          <w:tcPr>
            <w:tcW w:type="dxa" w:w="2592"/>
            <w:shd w:fill="FFFFFF"/>
          </w:tcPr>
          <w:p>
            <w:pPr>
              <w:jc w:val="left"/>
            </w:pPr>
            <w:r>
              <w:rPr>
                <w:rFonts w:ascii="Calibri" w:hAnsi="Calibri"/>
                <w:color w:val="334155"/>
                <w:sz w:val="18"/>
              </w:rPr>
              <w:t>Plaintext PII exposure in logs</w:t>
            </w:r>
          </w:p>
        </w:tc>
        <w:tc>
          <w:tcPr>
            <w:tcW w:type="dxa" w:w="1584"/>
            <w:shd w:fill="FFFFFF"/>
          </w:tcPr>
          <w:p>
            <w:pPr>
              <w:jc w:val="left"/>
            </w:pPr>
            <w:r>
              <w:rPr>
                <w:rFonts w:ascii="Calibri" w:hAnsi="Calibri"/>
                <w:color w:val="334155"/>
                <w:sz w:val="18"/>
              </w:rPr>
              <w:t>0 occurrences</w:t>
            </w:r>
          </w:p>
        </w:tc>
        <w:tc>
          <w:tcPr>
            <w:tcW w:type="dxa" w:w="2592"/>
            <w:shd w:fill="FFFFFF"/>
          </w:tcPr>
          <w:p>
            <w:pPr>
              <w:jc w:val="left"/>
            </w:pPr>
            <w:r>
              <w:rPr>
                <w:rFonts w:ascii="Calibri" w:hAnsi="Calibri"/>
                <w:color w:val="334155"/>
                <w:sz w:val="18"/>
              </w:rPr>
              <w:t>Static code analysis and SQL query plan inspection</w:t>
            </w:r>
          </w:p>
        </w:tc>
      </w:tr>
      <w:tr>
        <w:tc>
          <w:tcPr>
            <w:tcW w:type="dxa" w:w="1152"/>
            <w:shd w:fill="F8FAFC"/>
          </w:tcPr>
          <w:p>
            <w:pPr>
              <w:jc w:val="left"/>
            </w:pPr>
            <w:r>
              <w:rPr>
                <w:rFonts w:ascii="Calibri" w:hAnsi="Calibri"/>
                <w:color w:val="334155"/>
                <w:sz w:val="18"/>
              </w:rPr>
              <w:t>NFR-08</w:t>
            </w:r>
          </w:p>
        </w:tc>
        <w:tc>
          <w:tcPr>
            <w:tcW w:type="dxa" w:w="1440"/>
            <w:shd w:fill="F8FAFC"/>
          </w:tcPr>
          <w:p>
            <w:pPr>
              <w:jc w:val="left"/>
            </w:pPr>
            <w:r>
              <w:rPr>
                <w:rFonts w:ascii="Calibri" w:hAnsi="Calibri"/>
                <w:color w:val="334155"/>
                <w:sz w:val="18"/>
              </w:rPr>
              <w:t>Concurrency</w:t>
            </w:r>
          </w:p>
        </w:tc>
        <w:tc>
          <w:tcPr>
            <w:tcW w:type="dxa" w:w="2592"/>
            <w:shd w:fill="F8FAFC"/>
          </w:tcPr>
          <w:p>
            <w:pPr>
              <w:jc w:val="left"/>
            </w:pPr>
            <w:r>
              <w:rPr>
                <w:rFonts w:ascii="Calibri" w:hAnsi="Calibri"/>
                <w:color w:val="334155"/>
                <w:sz w:val="18"/>
              </w:rPr>
              <w:t>Gig contract scheduling conflicts</w:t>
            </w:r>
          </w:p>
        </w:tc>
        <w:tc>
          <w:tcPr>
            <w:tcW w:type="dxa" w:w="1584"/>
            <w:shd w:fill="F8FAFC"/>
          </w:tcPr>
          <w:p>
            <w:pPr>
              <w:jc w:val="left"/>
            </w:pPr>
            <w:r>
              <w:rPr>
                <w:rFonts w:ascii="Calibri" w:hAnsi="Calibri"/>
                <w:color w:val="334155"/>
                <w:sz w:val="18"/>
              </w:rPr>
              <w:t>0 overlapping windows</w:t>
            </w:r>
          </w:p>
        </w:tc>
        <w:tc>
          <w:tcPr>
            <w:tcW w:type="dxa" w:w="2592"/>
            <w:shd w:fill="F8FAFC"/>
          </w:tcPr>
          <w:p>
            <w:pPr>
              <w:jc w:val="left"/>
            </w:pPr>
            <w:r>
              <w:rPr>
                <w:rFonts w:ascii="Calibri" w:hAnsi="Calibri"/>
                <w:color w:val="334155"/>
                <w:sz w:val="18"/>
              </w:rPr>
              <w:t>pg_isolation_test with concurrent overlapping GiST inserts</w:t>
            </w:r>
          </w:p>
        </w:tc>
      </w:tr>
      <w:tr>
        <w:tc>
          <w:tcPr>
            <w:tcW w:type="dxa" w:w="1152"/>
            <w:shd w:fill="FFFFFF"/>
          </w:tcPr>
          <w:p>
            <w:pPr>
              <w:jc w:val="left"/>
            </w:pPr>
            <w:r>
              <w:rPr>
                <w:rFonts w:ascii="Calibri" w:hAnsi="Calibri"/>
                <w:color w:val="334155"/>
                <w:sz w:val="18"/>
              </w:rPr>
              <w:t>NFR-09</w:t>
            </w:r>
          </w:p>
        </w:tc>
        <w:tc>
          <w:tcPr>
            <w:tcW w:type="dxa" w:w="1440"/>
            <w:shd w:fill="FFFFFF"/>
          </w:tcPr>
          <w:p>
            <w:pPr>
              <w:jc w:val="left"/>
            </w:pPr>
            <w:r>
              <w:rPr>
                <w:rFonts w:ascii="Calibri" w:hAnsi="Calibri"/>
                <w:color w:val="334155"/>
                <w:sz w:val="18"/>
              </w:rPr>
              <w:t>Integrity</w:t>
            </w:r>
          </w:p>
        </w:tc>
        <w:tc>
          <w:tcPr>
            <w:tcW w:type="dxa" w:w="2592"/>
            <w:shd w:fill="FFFFFF"/>
          </w:tcPr>
          <w:p>
            <w:pPr>
              <w:jc w:val="left"/>
            </w:pPr>
            <w:r>
              <w:rPr>
                <w:rFonts w:ascii="Calibri" w:hAnsi="Calibri"/>
                <w:color w:val="334155"/>
                <w:sz w:val="18"/>
              </w:rPr>
              <w:t>Financial ledger balance variance</w:t>
            </w:r>
          </w:p>
        </w:tc>
        <w:tc>
          <w:tcPr>
            <w:tcW w:type="dxa" w:w="1584"/>
            <w:shd w:fill="FFFFFF"/>
          </w:tcPr>
          <w:p>
            <w:pPr>
              <w:jc w:val="left"/>
            </w:pPr>
            <w:r>
              <w:rPr>
                <w:rFonts w:ascii="Calibri" w:hAnsi="Calibri"/>
                <w:color w:val="334155"/>
                <w:sz w:val="18"/>
              </w:rPr>
              <w:t>$0.00 discrepancy</w:t>
            </w:r>
          </w:p>
        </w:tc>
        <w:tc>
          <w:tcPr>
            <w:tcW w:type="dxa" w:w="2592"/>
            <w:shd w:fill="FFFFFF"/>
          </w:tcPr>
          <w:p>
            <w:pPr>
              <w:jc w:val="left"/>
            </w:pPr>
            <w:r>
              <w:rPr>
                <w:rFonts w:ascii="Calibri" w:hAnsi="Calibri"/>
                <w:color w:val="334155"/>
                <w:sz w:val="18"/>
              </w:rPr>
              <w:t>Automated trigger sum verification vs wallet_account cleared balance</w:t>
            </w:r>
          </w:p>
        </w:tc>
      </w:tr>
      <w:tr>
        <w:tc>
          <w:tcPr>
            <w:tcW w:type="dxa" w:w="1152"/>
            <w:shd w:fill="F8FAFC"/>
          </w:tcPr>
          <w:p>
            <w:pPr>
              <w:jc w:val="left"/>
            </w:pPr>
            <w:r>
              <w:rPr>
                <w:rFonts w:ascii="Calibri" w:hAnsi="Calibri"/>
                <w:color w:val="334155"/>
                <w:sz w:val="18"/>
              </w:rPr>
              <w:t>NFR-10</w:t>
            </w:r>
          </w:p>
        </w:tc>
        <w:tc>
          <w:tcPr>
            <w:tcW w:type="dxa" w:w="1440"/>
            <w:shd w:fill="F8FAFC"/>
          </w:tcPr>
          <w:p>
            <w:pPr>
              <w:jc w:val="left"/>
            </w:pPr>
            <w:r>
              <w:rPr>
                <w:rFonts w:ascii="Calibri" w:hAnsi="Calibri"/>
                <w:color w:val="334155"/>
                <w:sz w:val="18"/>
              </w:rPr>
              <w:t>Compliance</w:t>
            </w:r>
          </w:p>
        </w:tc>
        <w:tc>
          <w:tcPr>
            <w:tcW w:type="dxa" w:w="2592"/>
            <w:shd w:fill="F8FAFC"/>
          </w:tcPr>
          <w:p>
            <w:pPr>
              <w:jc w:val="left"/>
            </w:pPr>
            <w:r>
              <w:rPr>
                <w:rFonts w:ascii="Calibri" w:hAnsi="Calibri"/>
                <w:color w:val="334155"/>
                <w:sz w:val="18"/>
              </w:rPr>
              <w:t>DPDP consent withdrawal latency</w:t>
            </w:r>
          </w:p>
        </w:tc>
        <w:tc>
          <w:tcPr>
            <w:tcW w:type="dxa" w:w="1584"/>
            <w:shd w:fill="F8FAFC"/>
          </w:tcPr>
          <w:p>
            <w:pPr>
              <w:jc w:val="left"/>
            </w:pPr>
            <w:r>
              <w:rPr>
                <w:rFonts w:ascii="Calibri" w:hAnsi="Calibri"/>
                <w:color w:val="334155"/>
                <w:sz w:val="18"/>
              </w:rPr>
              <w:t>&lt; 2.0 seconds</w:t>
            </w:r>
          </w:p>
        </w:tc>
        <w:tc>
          <w:tcPr>
            <w:tcW w:type="dxa" w:w="2592"/>
            <w:shd w:fill="F8FAFC"/>
          </w:tcPr>
          <w:p>
            <w:pPr>
              <w:jc w:val="left"/>
            </w:pPr>
            <w:r>
              <w:rPr>
                <w:rFonts w:ascii="Calibri" w:hAnsi="Calibri"/>
                <w:color w:val="334155"/>
                <w:sz w:val="18"/>
              </w:rPr>
              <w:t>Asynchronous cascade anonymization pipeline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