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F172A"/>
          <w:sz w:val="44"/>
        </w:rPr>
        <w:t>E. Business Workflow Analysis</w:t>
      </w:r>
    </w:p>
    <w:p>
      <w:r>
        <w:rPr>
          <w:rFonts w:ascii="Calibri" w:hAnsi="Calibri"/>
          <w:b/>
          <w:color w:val="2563EB"/>
          <w:sz w:val="24"/>
        </w:rPr>
        <w:t>Step 05 · Discover | End-to-End Operational Lifecycle, Decisions, and Exception Catalogue</w:t>
      </w:r>
    </w:p>
    <w:p>
      <w:r>
        <w:rPr>
          <w:rFonts w:ascii="Calibri" w:hAnsi="Calibri"/>
          <w:i/>
          <w:color w:val="64748B"/>
          <w:sz w:val="20"/>
        </w:rPr>
        <w:t>Talentra Database Design | Repository-aligned Stage 1 deliverable</w:t>
      </w:r>
    </w:p>
    <w:p/>
    <w:p>
      <w:pPr>
        <w:keepNext/>
        <w:spacing w:before="320" w:after="120"/>
      </w:pPr>
      <w:r>
        <w:rPr>
          <w:rFonts w:ascii="Calibri" w:hAnsi="Calibri"/>
          <w:b/>
          <w:color w:val="0F172A"/>
          <w:sz w:val="30"/>
        </w:rPr>
        <w:t>1. Purpose &amp; Operational Lifecycle Scope</w:t>
      </w:r>
    </w:p>
    <w:p>
      <w:pPr>
        <w:spacing w:before="0" w:after="120" w:line="276" w:lineRule="auto"/>
      </w:pPr>
      <w:r>
        <w:rPr>
          <w:rFonts w:ascii="Calibri" w:hAnsi="Calibri"/>
          <w:color w:val="334155"/>
          <w:sz w:val="21"/>
        </w:rPr>
        <w:t>Business Workflow Analysis defines how human actors, automated microservices, and external systems execute work across the Talentra platform from end to end. While traditional requirement documents focus on static states, this docket models dynamic operational transitions, authorization barriers, branching logic, exception mitigation paths, and compensatory rollback actions.</w:t>
      </w:r>
    </w:p>
    <w:p>
      <w:pPr>
        <w:spacing w:before="0" w:after="120" w:line="276" w:lineRule="auto"/>
      </w:pPr>
      <w:r>
        <w:rPr>
          <w:rFonts w:ascii="Calibri" w:hAnsi="Calibri"/>
          <w:color w:val="334155"/>
          <w:sz w:val="21"/>
        </w:rPr>
        <w:t>In accordance with Stage 1 Gate G1 ('Problem Understood') and G3 ('Model Proven'), every must-have feature (F-01 through F-20) is guaranteed to appear in at least one operational workflow, and all cancel, refund, retry, and timeout failure branches are comprehensively catalogued.</w:t>
      </w:r>
    </w:p>
    <w:p>
      <w:pPr>
        <w:keepNext/>
        <w:spacing w:before="320" w:after="120"/>
      </w:pPr>
      <w:r>
        <w:rPr>
          <w:rFonts w:ascii="Calibri" w:hAnsi="Calibri"/>
          <w:b/>
          <w:color w:val="0F172A"/>
          <w:sz w:val="30"/>
        </w:rPr>
        <w:t>2. Core Workflow Master Inventory</w:t>
      </w:r>
    </w:p>
    <w:p>
      <w:pPr>
        <w:spacing w:before="0" w:after="120" w:line="276" w:lineRule="auto"/>
      </w:pPr>
      <w:r>
        <w:rPr>
          <w:rFonts w:ascii="Calibri" w:hAnsi="Calibri"/>
          <w:color w:val="334155"/>
          <w:sz w:val="21"/>
        </w:rPr>
        <w:t>Talentra operationalizes seven core enterprise lifecycles covering all strategic functional pillars: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1E3A8A"/>
          </w:tcPr>
          <w:p>
            <w:pPr>
              <w:jc w:val="left"/>
            </w:pPr>
            <w:r>
              <w:rPr>
                <w:rFonts w:ascii="Calibri" w:hAnsi="Calibri"/>
                <w:b/>
                <w:color w:val="FFFFFF"/>
                <w:sz w:val="19"/>
              </w:rPr>
              <w:t>Workflow ID</w:t>
            </w:r>
          </w:p>
        </w:tc>
        <w:tc>
          <w:tcPr>
            <w:tcW w:type="dxa" w:w="2592"/>
            <w:shd w:fill="1E3A8A"/>
          </w:tcPr>
          <w:p>
            <w:pPr>
              <w:jc w:val="left"/>
            </w:pPr>
            <w:r>
              <w:rPr>
                <w:rFonts w:ascii="Calibri" w:hAnsi="Calibri"/>
                <w:b/>
                <w:color w:val="FFFFFF"/>
                <w:sz w:val="19"/>
              </w:rPr>
              <w:t>Operational Workflow Title</w:t>
            </w:r>
          </w:p>
        </w:tc>
        <w:tc>
          <w:tcPr>
            <w:tcW w:type="dxa" w:w="2160"/>
            <w:shd w:fill="1E3A8A"/>
          </w:tcPr>
          <w:p>
            <w:pPr>
              <w:jc w:val="left"/>
            </w:pPr>
            <w:r>
              <w:rPr>
                <w:rFonts w:ascii="Calibri" w:hAnsi="Calibri"/>
                <w:b/>
                <w:color w:val="FFFFFF"/>
                <w:sz w:val="19"/>
              </w:rPr>
              <w:t>Primary Trigger</w:t>
            </w:r>
          </w:p>
        </w:tc>
        <w:tc>
          <w:tcPr>
            <w:tcW w:type="dxa" w:w="1728"/>
            <w:shd w:fill="1E3A8A"/>
          </w:tcPr>
          <w:p>
            <w:pPr>
              <w:jc w:val="left"/>
            </w:pPr>
            <w:r>
              <w:rPr>
                <w:rFonts w:ascii="Calibri" w:hAnsi="Calibri"/>
                <w:b/>
                <w:color w:val="FFFFFF"/>
                <w:sz w:val="19"/>
              </w:rPr>
              <w:t>Initiating Actor</w:t>
            </w:r>
          </w:p>
        </w:tc>
        <w:tc>
          <w:tcPr>
            <w:tcW w:type="dxa" w:w="1728"/>
            <w:shd w:fill="1E3A8A"/>
          </w:tcPr>
          <w:p>
            <w:pPr>
              <w:jc w:val="left"/>
            </w:pPr>
            <w:r>
              <w:rPr>
                <w:rFonts w:ascii="Calibri" w:hAnsi="Calibri"/>
                <w:b/>
                <w:color w:val="FFFFFF"/>
                <w:sz w:val="19"/>
              </w:rPr>
              <w:t>Key State Invariant</w:t>
            </w:r>
          </w:p>
        </w:tc>
      </w:tr>
      <w:tr>
        <w:tc>
          <w:tcPr>
            <w:tcW w:type="dxa" w:w="1152"/>
            <w:shd w:fill="FFFFFF"/>
          </w:tcPr>
          <w:p>
            <w:pPr>
              <w:jc w:val="left"/>
            </w:pPr>
            <w:r>
              <w:rPr>
                <w:rFonts w:ascii="Calibri" w:hAnsi="Calibri"/>
                <w:color w:val="334155"/>
                <w:sz w:val="18"/>
              </w:rPr>
              <w:t>WF-01</w:t>
            </w:r>
          </w:p>
        </w:tc>
        <w:tc>
          <w:tcPr>
            <w:tcW w:type="dxa" w:w="2592"/>
            <w:shd w:fill="FFFFFF"/>
          </w:tcPr>
          <w:p>
            <w:pPr>
              <w:jc w:val="left"/>
            </w:pPr>
            <w:r>
              <w:rPr>
                <w:rFonts w:ascii="Calibri" w:hAnsi="Calibri"/>
                <w:color w:val="334155"/>
                <w:sz w:val="18"/>
              </w:rPr>
              <w:t>Candidate Onboarding &amp; Privacy Shield</w:t>
            </w:r>
          </w:p>
        </w:tc>
        <w:tc>
          <w:tcPr>
            <w:tcW w:type="dxa" w:w="2160"/>
            <w:shd w:fill="FFFFFF"/>
          </w:tcPr>
          <w:p>
            <w:pPr>
              <w:jc w:val="left"/>
            </w:pPr>
            <w:r>
              <w:rPr>
                <w:rFonts w:ascii="Calibri" w:hAnsi="Calibri"/>
                <w:color w:val="334155"/>
                <w:sz w:val="18"/>
              </w:rPr>
              <w:t>Candidate profile registration</w:t>
            </w:r>
          </w:p>
        </w:tc>
        <w:tc>
          <w:tcPr>
            <w:tcW w:type="dxa" w:w="1728"/>
            <w:shd w:fill="FFFFFF"/>
          </w:tcPr>
          <w:p>
            <w:pPr>
              <w:jc w:val="left"/>
            </w:pPr>
            <w:r>
              <w:rPr>
                <w:rFonts w:ascii="Calibri" w:hAnsi="Calibri"/>
                <w:color w:val="334155"/>
                <w:sz w:val="18"/>
              </w:rPr>
              <w:t>Candidate (P-02)</w:t>
            </w:r>
          </w:p>
        </w:tc>
        <w:tc>
          <w:tcPr>
            <w:tcW w:type="dxa" w:w="1728"/>
            <w:shd w:fill="FFFFFF"/>
          </w:tcPr>
          <w:p>
            <w:pPr>
              <w:jc w:val="left"/>
            </w:pPr>
            <w:r>
              <w:rPr>
                <w:rFonts w:ascii="Calibri" w:hAnsi="Calibri"/>
                <w:color w:val="334155"/>
                <w:sz w:val="18"/>
              </w:rPr>
              <w:t>Blocked employers/competitors strictly hidden via anti-join views</w:t>
            </w:r>
          </w:p>
        </w:tc>
      </w:tr>
      <w:tr>
        <w:tc>
          <w:tcPr>
            <w:tcW w:type="dxa" w:w="1152"/>
            <w:shd w:fill="F8FAFC"/>
          </w:tcPr>
          <w:p>
            <w:pPr>
              <w:jc w:val="left"/>
            </w:pPr>
            <w:r>
              <w:rPr>
                <w:rFonts w:ascii="Calibri" w:hAnsi="Calibri"/>
                <w:color w:val="334155"/>
                <w:sz w:val="18"/>
              </w:rPr>
              <w:t>WF-02</w:t>
            </w:r>
          </w:p>
        </w:tc>
        <w:tc>
          <w:tcPr>
            <w:tcW w:type="dxa" w:w="2592"/>
            <w:shd w:fill="F8FAFC"/>
          </w:tcPr>
          <w:p>
            <w:pPr>
              <w:jc w:val="left"/>
            </w:pPr>
            <w:r>
              <w:rPr>
                <w:rFonts w:ascii="Calibri" w:hAnsi="Calibri"/>
                <w:color w:val="334155"/>
                <w:sz w:val="18"/>
              </w:rPr>
              <w:t>Multi-Tenant Requisition Publication</w:t>
            </w:r>
          </w:p>
        </w:tc>
        <w:tc>
          <w:tcPr>
            <w:tcW w:type="dxa" w:w="2160"/>
            <w:shd w:fill="F8FAFC"/>
          </w:tcPr>
          <w:p>
            <w:pPr>
              <w:jc w:val="left"/>
            </w:pPr>
            <w:r>
              <w:rPr>
                <w:rFonts w:ascii="Calibri" w:hAnsi="Calibri"/>
                <w:color w:val="334155"/>
                <w:sz w:val="18"/>
              </w:rPr>
              <w:t>New hiring requisition request</w:t>
            </w:r>
          </w:p>
        </w:tc>
        <w:tc>
          <w:tcPr>
            <w:tcW w:type="dxa" w:w="1728"/>
            <w:shd w:fill="F8FAFC"/>
          </w:tcPr>
          <w:p>
            <w:pPr>
              <w:jc w:val="left"/>
            </w:pPr>
            <w:r>
              <w:rPr>
                <w:rFonts w:ascii="Calibri" w:hAnsi="Calibri"/>
                <w:color w:val="334155"/>
                <w:sz w:val="18"/>
              </w:rPr>
              <w:t>Corporate Recruiter (P-01)</w:t>
            </w:r>
          </w:p>
        </w:tc>
        <w:tc>
          <w:tcPr>
            <w:tcW w:type="dxa" w:w="1728"/>
            <w:shd w:fill="F8FAFC"/>
          </w:tcPr>
          <w:p>
            <w:pPr>
              <w:jc w:val="left"/>
            </w:pPr>
            <w:r>
              <w:rPr>
                <w:rFonts w:ascii="Calibri" w:hAnsi="Calibri"/>
                <w:color w:val="334155"/>
                <w:sz w:val="18"/>
              </w:rPr>
              <w:t>Isolated to hiring organisation_id via engine-level Row-Level Security</w:t>
            </w:r>
          </w:p>
        </w:tc>
      </w:tr>
      <w:tr>
        <w:tc>
          <w:tcPr>
            <w:tcW w:type="dxa" w:w="1152"/>
            <w:shd w:fill="FFFFFF"/>
          </w:tcPr>
          <w:p>
            <w:pPr>
              <w:jc w:val="left"/>
            </w:pPr>
            <w:r>
              <w:rPr>
                <w:rFonts w:ascii="Calibri" w:hAnsi="Calibri"/>
                <w:color w:val="334155"/>
                <w:sz w:val="18"/>
              </w:rPr>
              <w:t>WF-03</w:t>
            </w:r>
          </w:p>
        </w:tc>
        <w:tc>
          <w:tcPr>
            <w:tcW w:type="dxa" w:w="2592"/>
            <w:shd w:fill="FFFFFF"/>
          </w:tcPr>
          <w:p>
            <w:pPr>
              <w:jc w:val="left"/>
            </w:pPr>
            <w:r>
              <w:rPr>
                <w:rFonts w:ascii="Calibri" w:hAnsi="Calibri"/>
                <w:color w:val="334155"/>
                <w:sz w:val="18"/>
              </w:rPr>
              <w:t>Application Pipeline &amp; Assessment</w:t>
            </w:r>
          </w:p>
        </w:tc>
        <w:tc>
          <w:tcPr>
            <w:tcW w:type="dxa" w:w="2160"/>
            <w:shd w:fill="FFFFFF"/>
          </w:tcPr>
          <w:p>
            <w:pPr>
              <w:jc w:val="left"/>
            </w:pPr>
            <w:r>
              <w:rPr>
                <w:rFonts w:ascii="Calibri" w:hAnsi="Calibri"/>
                <w:color w:val="334155"/>
                <w:sz w:val="18"/>
              </w:rPr>
              <w:t>Candidate job application submit</w:t>
            </w:r>
          </w:p>
        </w:tc>
        <w:tc>
          <w:tcPr>
            <w:tcW w:type="dxa" w:w="1728"/>
            <w:shd w:fill="FFFFFF"/>
          </w:tcPr>
          <w:p>
            <w:pPr>
              <w:jc w:val="left"/>
            </w:pPr>
            <w:r>
              <w:rPr>
                <w:rFonts w:ascii="Calibri" w:hAnsi="Calibri"/>
                <w:color w:val="334155"/>
                <w:sz w:val="18"/>
              </w:rPr>
              <w:t>Candidate (P-02)</w:t>
            </w:r>
          </w:p>
        </w:tc>
        <w:tc>
          <w:tcPr>
            <w:tcW w:type="dxa" w:w="1728"/>
            <w:shd w:fill="FFFFFF"/>
          </w:tcPr>
          <w:p>
            <w:pPr>
              <w:jc w:val="left"/>
            </w:pPr>
            <w:r>
              <w:rPr>
                <w:rFonts w:ascii="Calibri" w:hAnsi="Calibri"/>
                <w:color w:val="334155"/>
                <w:sz w:val="18"/>
              </w:rPr>
              <w:t>One application per active job; immutable questionnaire responses</w:t>
            </w:r>
          </w:p>
        </w:tc>
      </w:tr>
      <w:tr>
        <w:tc>
          <w:tcPr>
            <w:tcW w:type="dxa" w:w="1152"/>
            <w:shd w:fill="F8FAFC"/>
          </w:tcPr>
          <w:p>
            <w:pPr>
              <w:jc w:val="left"/>
            </w:pPr>
            <w:r>
              <w:rPr>
                <w:rFonts w:ascii="Calibri" w:hAnsi="Calibri"/>
                <w:color w:val="334155"/>
                <w:sz w:val="18"/>
              </w:rPr>
              <w:t>WF-04</w:t>
            </w:r>
          </w:p>
        </w:tc>
        <w:tc>
          <w:tcPr>
            <w:tcW w:type="dxa" w:w="2592"/>
            <w:shd w:fill="F8FAFC"/>
          </w:tcPr>
          <w:p>
            <w:pPr>
              <w:jc w:val="left"/>
            </w:pPr>
            <w:r>
              <w:rPr>
                <w:rFonts w:ascii="Calibri" w:hAnsi="Calibri"/>
                <w:color w:val="334155"/>
                <w:sz w:val="18"/>
              </w:rPr>
              <w:t>Talent Sourcing &amp; Resume Unlock</w:t>
            </w:r>
          </w:p>
        </w:tc>
        <w:tc>
          <w:tcPr>
            <w:tcW w:type="dxa" w:w="2160"/>
            <w:shd w:fill="F8FAFC"/>
          </w:tcPr>
          <w:p>
            <w:pPr>
              <w:jc w:val="left"/>
            </w:pPr>
            <w:r>
              <w:rPr>
                <w:rFonts w:ascii="Calibri" w:hAnsi="Calibri"/>
                <w:color w:val="334155"/>
                <w:sz w:val="18"/>
              </w:rPr>
              <w:t>Recruiter unlocks full contact info</w:t>
            </w:r>
          </w:p>
        </w:tc>
        <w:tc>
          <w:tcPr>
            <w:tcW w:type="dxa" w:w="1728"/>
            <w:shd w:fill="F8FAFC"/>
          </w:tcPr>
          <w:p>
            <w:pPr>
              <w:jc w:val="left"/>
            </w:pPr>
            <w:r>
              <w:rPr>
                <w:rFonts w:ascii="Calibri" w:hAnsi="Calibri"/>
                <w:color w:val="334155"/>
                <w:sz w:val="18"/>
              </w:rPr>
              <w:t>Staffing Consultant (P-05)</w:t>
            </w:r>
          </w:p>
        </w:tc>
        <w:tc>
          <w:tcPr>
            <w:tcW w:type="dxa" w:w="1728"/>
            <w:shd w:fill="F8FAFC"/>
          </w:tcPr>
          <w:p>
            <w:pPr>
              <w:jc w:val="left"/>
            </w:pPr>
            <w:r>
              <w:rPr>
                <w:rFonts w:ascii="Calibri" w:hAnsi="Calibri"/>
                <w:color w:val="334155"/>
                <w:sz w:val="18"/>
              </w:rPr>
              <w:t>Atomic wallet credit deduction; immutable download history log</w:t>
            </w:r>
          </w:p>
        </w:tc>
      </w:tr>
      <w:tr>
        <w:tc>
          <w:tcPr>
            <w:tcW w:type="dxa" w:w="1152"/>
            <w:shd w:fill="FFFFFF"/>
          </w:tcPr>
          <w:p>
            <w:pPr>
              <w:jc w:val="left"/>
            </w:pPr>
            <w:r>
              <w:rPr>
                <w:rFonts w:ascii="Calibri" w:hAnsi="Calibri"/>
                <w:color w:val="334155"/>
                <w:sz w:val="18"/>
              </w:rPr>
              <w:t>WF-05</w:t>
            </w:r>
          </w:p>
        </w:tc>
        <w:tc>
          <w:tcPr>
            <w:tcW w:type="dxa" w:w="2592"/>
            <w:shd w:fill="FFFFFF"/>
          </w:tcPr>
          <w:p>
            <w:pPr>
              <w:jc w:val="left"/>
            </w:pPr>
            <w:r>
              <w:rPr>
                <w:rFonts w:ascii="Calibri" w:hAnsi="Calibri"/>
                <w:color w:val="334155"/>
                <w:sz w:val="18"/>
              </w:rPr>
              <w:t>Gig Contracting &amp; Conflict Guard</w:t>
            </w:r>
          </w:p>
        </w:tc>
        <w:tc>
          <w:tcPr>
            <w:tcW w:type="dxa" w:w="2160"/>
            <w:shd w:fill="FFFFFF"/>
          </w:tcPr>
          <w:p>
            <w:pPr>
              <w:jc w:val="left"/>
            </w:pPr>
            <w:r>
              <w:rPr>
                <w:rFonts w:ascii="Calibri" w:hAnsi="Calibri"/>
                <w:color w:val="334155"/>
                <w:sz w:val="18"/>
              </w:rPr>
              <w:t>Client awards gig milestone project</w:t>
            </w:r>
          </w:p>
        </w:tc>
        <w:tc>
          <w:tcPr>
            <w:tcW w:type="dxa" w:w="1728"/>
            <w:shd w:fill="FFFFFF"/>
          </w:tcPr>
          <w:p>
            <w:pPr>
              <w:jc w:val="left"/>
            </w:pPr>
            <w:r>
              <w:rPr>
                <w:rFonts w:ascii="Calibri" w:hAnsi="Calibri"/>
                <w:color w:val="334155"/>
                <w:sz w:val="18"/>
              </w:rPr>
              <w:t>Enterprise Admin (P-04)</w:t>
            </w:r>
          </w:p>
        </w:tc>
        <w:tc>
          <w:tcPr>
            <w:tcW w:type="dxa" w:w="1728"/>
            <w:shd w:fill="FFFFFF"/>
          </w:tcPr>
          <w:p>
            <w:pPr>
              <w:jc w:val="left"/>
            </w:pPr>
            <w:r>
              <w:rPr>
                <w:rFonts w:ascii="Calibri" w:hAnsi="Calibri"/>
                <w:color w:val="334155"/>
                <w:sz w:val="18"/>
              </w:rPr>
              <w:t>PostgreSQL GiST exclusion constraint guarantees zero calendar overlap</w:t>
            </w:r>
          </w:p>
        </w:tc>
      </w:tr>
      <w:tr>
        <w:tc>
          <w:tcPr>
            <w:tcW w:type="dxa" w:w="1152"/>
            <w:shd w:fill="F8FAFC"/>
          </w:tcPr>
          <w:p>
            <w:pPr>
              <w:jc w:val="left"/>
            </w:pPr>
            <w:r>
              <w:rPr>
                <w:rFonts w:ascii="Calibri" w:hAnsi="Calibri"/>
                <w:color w:val="334155"/>
                <w:sz w:val="18"/>
              </w:rPr>
              <w:t>WF-06</w:t>
            </w:r>
          </w:p>
        </w:tc>
        <w:tc>
          <w:tcPr>
            <w:tcW w:type="dxa" w:w="2592"/>
            <w:shd w:fill="F8FAFC"/>
          </w:tcPr>
          <w:p>
            <w:pPr>
              <w:jc w:val="left"/>
            </w:pPr>
            <w:r>
              <w:rPr>
                <w:rFonts w:ascii="Calibri" w:hAnsi="Calibri"/>
                <w:color w:val="334155"/>
                <w:sz w:val="18"/>
              </w:rPr>
              <w:t>Subscription Licensing &amp; Seat Provision</w:t>
            </w:r>
          </w:p>
        </w:tc>
        <w:tc>
          <w:tcPr>
            <w:tcW w:type="dxa" w:w="2160"/>
            <w:shd w:fill="F8FAFC"/>
          </w:tcPr>
          <w:p>
            <w:pPr>
              <w:jc w:val="left"/>
            </w:pPr>
            <w:r>
              <w:rPr>
                <w:rFonts w:ascii="Calibri" w:hAnsi="Calibri"/>
                <w:color w:val="334155"/>
                <w:sz w:val="18"/>
              </w:rPr>
              <w:t>Enterprise purchases license tier</w:t>
            </w:r>
          </w:p>
        </w:tc>
        <w:tc>
          <w:tcPr>
            <w:tcW w:type="dxa" w:w="1728"/>
            <w:shd w:fill="F8FAFC"/>
          </w:tcPr>
          <w:p>
            <w:pPr>
              <w:jc w:val="left"/>
            </w:pPr>
            <w:r>
              <w:rPr>
                <w:rFonts w:ascii="Calibri" w:hAnsi="Calibri"/>
                <w:color w:val="334155"/>
                <w:sz w:val="18"/>
              </w:rPr>
              <w:t>Executive Leader (P-06)</w:t>
            </w:r>
          </w:p>
        </w:tc>
        <w:tc>
          <w:tcPr>
            <w:tcW w:type="dxa" w:w="1728"/>
            <w:shd w:fill="F8FAFC"/>
          </w:tcPr>
          <w:p>
            <w:pPr>
              <w:jc w:val="left"/>
            </w:pPr>
            <w:r>
              <w:rPr>
                <w:rFonts w:ascii="Calibri" w:hAnsi="Calibri"/>
                <w:color w:val="334155"/>
                <w:sz w:val="18"/>
              </w:rPr>
              <w:t>Hard cap on recruiter seat assignments matching purchased quota</w:t>
            </w:r>
          </w:p>
        </w:tc>
      </w:tr>
      <w:tr>
        <w:tc>
          <w:tcPr>
            <w:tcW w:type="dxa" w:w="1152"/>
            <w:shd w:fill="FFFFFF"/>
          </w:tcPr>
          <w:p>
            <w:pPr>
              <w:jc w:val="left"/>
            </w:pPr>
            <w:r>
              <w:rPr>
                <w:rFonts w:ascii="Calibri" w:hAnsi="Calibri"/>
                <w:color w:val="334155"/>
                <w:sz w:val="18"/>
              </w:rPr>
              <w:t>WF-07</w:t>
            </w:r>
          </w:p>
        </w:tc>
        <w:tc>
          <w:tcPr>
            <w:tcW w:type="dxa" w:w="2592"/>
            <w:shd w:fill="FFFFFF"/>
          </w:tcPr>
          <w:p>
            <w:pPr>
              <w:jc w:val="left"/>
            </w:pPr>
            <w:r>
              <w:rPr>
                <w:rFonts w:ascii="Calibri" w:hAnsi="Calibri"/>
                <w:color w:val="334155"/>
                <w:sz w:val="18"/>
              </w:rPr>
              <w:t>Wallet Payout &amp; Dispute Resolution</w:t>
            </w:r>
          </w:p>
        </w:tc>
        <w:tc>
          <w:tcPr>
            <w:tcW w:type="dxa" w:w="2160"/>
            <w:shd w:fill="FFFFFF"/>
          </w:tcPr>
          <w:p>
            <w:pPr>
              <w:jc w:val="left"/>
            </w:pPr>
            <w:r>
              <w:rPr>
                <w:rFonts w:ascii="Calibri" w:hAnsi="Calibri"/>
                <w:color w:val="334155"/>
                <w:sz w:val="18"/>
              </w:rPr>
              <w:t>Milestone sign-off or cancellation</w:t>
            </w:r>
          </w:p>
        </w:tc>
        <w:tc>
          <w:tcPr>
            <w:tcW w:type="dxa" w:w="1728"/>
            <w:shd w:fill="FFFFFF"/>
          </w:tcPr>
          <w:p>
            <w:pPr>
              <w:jc w:val="left"/>
            </w:pPr>
            <w:r>
              <w:rPr>
                <w:rFonts w:ascii="Calibri" w:hAnsi="Calibri"/>
                <w:color w:val="334155"/>
                <w:sz w:val="18"/>
              </w:rPr>
              <w:t>Gig Worker (P-03)</w:t>
            </w:r>
          </w:p>
        </w:tc>
        <w:tc>
          <w:tcPr>
            <w:tcW w:type="dxa" w:w="1728"/>
            <w:shd w:fill="FFFFFF"/>
          </w:tcPr>
          <w:p>
            <w:pPr>
              <w:jc w:val="left"/>
            </w:pPr>
            <w:r>
              <w:rPr>
                <w:rFonts w:ascii="Calibri" w:hAnsi="Calibri"/>
                <w:color w:val="334155"/>
                <w:sz w:val="18"/>
              </w:rPr>
              <w:t>Double-entry append-only ledger; automated balance reconciliation</w:t>
            </w:r>
          </w:p>
        </w:tc>
      </w:tr>
    </w:tbl>
    <w:p/>
    <w:p>
      <w:pPr>
        <w:keepNext/>
        <w:spacing w:before="320" w:after="120"/>
      </w:pPr>
      <w:r>
        <w:rPr>
          <w:rFonts w:ascii="Calibri" w:hAnsi="Calibri"/>
          <w:b/>
          <w:color w:val="0F172A"/>
          <w:sz w:val="30"/>
        </w:rPr>
        <w:t>3. Deep-Dive Specification of Core Workflows</w:t>
      </w:r>
    </w:p>
    <w:p>
      <w:pPr>
        <w:keepNext/>
        <w:spacing w:before="240" w:after="80"/>
      </w:pPr>
      <w:r>
        <w:rPr>
          <w:rFonts w:ascii="Calibri" w:hAnsi="Calibri"/>
          <w:b/>
          <w:color w:val="1E3A8A"/>
          <w:sz w:val="25"/>
        </w:rPr>
        <w:t>3.1 WF-01: Candidate Onboarding &amp; Privacy Shield</w:t>
      </w:r>
    </w:p>
    <w:p>
      <w:pPr>
        <w:pStyle w:val="ListBullet"/>
        <w:spacing w:before="0" w:after="60" w:line="276" w:lineRule="auto"/>
      </w:pPr>
      <w:r>
        <w:rPr>
          <w:rFonts w:ascii="Calibri" w:hAnsi="Calibri"/>
          <w:b/>
          <w:color w:val="0F172A"/>
          <w:sz w:val="21"/>
        </w:rPr>
        <w:t xml:space="preserve">Trigger: </w:t>
      </w:r>
      <w:r>
        <w:rPr>
          <w:rFonts w:ascii="Calibri" w:hAnsi="Calibri"/>
          <w:color w:val="334155"/>
          <w:sz w:val="21"/>
        </w:rPr>
        <w:t>Candidate signs up via canonical email, creates profile headline, and uploads resume document.</w:t>
      </w:r>
    </w:p>
    <w:p>
      <w:pPr>
        <w:pStyle w:val="ListBullet"/>
        <w:spacing w:before="0" w:after="60" w:line="276" w:lineRule="auto"/>
      </w:pPr>
      <w:r>
        <w:rPr>
          <w:rFonts w:ascii="Calibri" w:hAnsi="Calibri"/>
          <w:b/>
          <w:color w:val="0F172A"/>
          <w:sz w:val="21"/>
        </w:rPr>
        <w:t xml:space="preserve">Steps: </w:t>
      </w:r>
      <w:r>
        <w:rPr>
          <w:rFonts w:ascii="Calibri" w:hAnsi="Calibri"/>
          <w:color w:val="334155"/>
          <w:sz w:val="21"/>
        </w:rPr>
        <w:t>1. User account created in administration.user_account; password hashed with Argon2id.</w:t>
        <w:br/>
        <w:t>2. Candidate profile provisioned in profile.candidate_profile.</w:t>
        <w:br/>
        <w:t>3. Resume parsed into structured skill vectors.</w:t>
        <w:br/>
        <w:t>4. Candidate configures employer block-list entries (e.g. Current Employer) in administration.candidate_block_list.</w:t>
      </w:r>
    </w:p>
    <w:p>
      <w:pPr>
        <w:pStyle w:val="ListBullet"/>
        <w:spacing w:before="0" w:after="60" w:line="276" w:lineRule="auto"/>
      </w:pPr>
      <w:r>
        <w:rPr>
          <w:rFonts w:ascii="Calibri" w:hAnsi="Calibri"/>
          <w:b/>
          <w:color w:val="0F172A"/>
          <w:sz w:val="21"/>
        </w:rPr>
        <w:t xml:space="preserve">Privacy Decision Point: </w:t>
      </w:r>
      <w:r>
        <w:rPr>
          <w:rFonts w:ascii="Calibri" w:hAnsi="Calibri"/>
          <w:color w:val="334155"/>
          <w:sz w:val="21"/>
        </w:rPr>
        <w:t>When recruiters search the candidate pool, the query dynamically evaluates the candidate_block_list anti-join view. If recruiter's organisation matches a blocked employer, the candidate record is completely excluded from search results.</w:t>
      </w:r>
    </w:p>
    <w:p>
      <w:pPr>
        <w:pStyle w:val="ListBullet"/>
        <w:spacing w:before="0" w:after="60" w:line="276" w:lineRule="auto"/>
      </w:pPr>
      <w:r>
        <w:rPr>
          <w:rFonts w:ascii="Calibri" w:hAnsi="Calibri"/>
          <w:b/>
          <w:color w:val="0F172A"/>
          <w:sz w:val="21"/>
        </w:rPr>
        <w:t xml:space="preserve">Output / Post-Condition: </w:t>
      </w:r>
      <w:r>
        <w:rPr>
          <w:rFonts w:ascii="Calibri" w:hAnsi="Calibri"/>
          <w:color w:val="334155"/>
          <w:sz w:val="21"/>
        </w:rPr>
        <w:t>Candidate profile is publicly searchable except to blocked organizations; audit log records consent timestamp.</w:t>
      </w:r>
    </w:p>
    <w:p>
      <w:pPr>
        <w:keepNext/>
        <w:spacing w:before="240" w:after="80"/>
      </w:pPr>
      <w:r>
        <w:rPr>
          <w:rFonts w:ascii="Calibri" w:hAnsi="Calibri"/>
          <w:b/>
          <w:color w:val="1E3A8A"/>
          <w:sz w:val="25"/>
        </w:rPr>
        <w:t>3.2 WF-04: Recruiter Talent Sourcing &amp; Resume Unlock</w:t>
      </w:r>
    </w:p>
    <w:p>
      <w:pPr>
        <w:pStyle w:val="ListBullet"/>
        <w:spacing w:before="0" w:after="60" w:line="276" w:lineRule="auto"/>
      </w:pPr>
      <w:r>
        <w:rPr>
          <w:rFonts w:ascii="Calibri" w:hAnsi="Calibri"/>
          <w:b/>
          <w:color w:val="0F172A"/>
          <w:sz w:val="21"/>
        </w:rPr>
        <w:t xml:space="preserve">Trigger: </w:t>
      </w:r>
      <w:r>
        <w:rPr>
          <w:rFonts w:ascii="Calibri" w:hAnsi="Calibri"/>
          <w:color w:val="334155"/>
          <w:sz w:val="21"/>
        </w:rPr>
        <w:t>Recruiter finds anonymized candidate profile and requests full contact details.</w:t>
      </w:r>
    </w:p>
    <w:p>
      <w:pPr>
        <w:pStyle w:val="ListBullet"/>
        <w:spacing w:before="0" w:after="60" w:line="276" w:lineRule="auto"/>
      </w:pPr>
      <w:r>
        <w:rPr>
          <w:rFonts w:ascii="Calibri" w:hAnsi="Calibri"/>
          <w:b/>
          <w:color w:val="0F172A"/>
          <w:sz w:val="21"/>
        </w:rPr>
        <w:t xml:space="preserve">Steps: </w:t>
      </w:r>
      <w:r>
        <w:rPr>
          <w:rFonts w:ascii="Calibri" w:hAnsi="Calibri"/>
          <w:color w:val="334155"/>
          <w:sz w:val="21"/>
        </w:rPr>
        <w:t>1. System checks recruiter organization subscription licence and available monthly download credits.</w:t>
        <w:br/>
        <w:t>2. If credits &gt;= unlock fee, deduct fee credits from subscription allowance.</w:t>
        <w:br/>
        <w:t>3. If credits exhausted, verify organization wallet account cleared balance.</w:t>
        <w:br/>
        <w:t>4. Execute atomic transaction: record profile_download_history entry, post debit to billing.wallet_ledger, recalculate wallet balance.</w:t>
        <w:br/>
        <w:t>5. Reveal candidate PII and grant unmasked PDF resume download access.</w:t>
      </w:r>
    </w:p>
    <w:p>
      <w:pPr>
        <w:pStyle w:val="ListBullet"/>
        <w:spacing w:before="0" w:after="60" w:line="276" w:lineRule="auto"/>
      </w:pPr>
      <w:r>
        <w:rPr>
          <w:rFonts w:ascii="Calibri" w:hAnsi="Calibri"/>
          <w:b/>
          <w:color w:val="0F172A"/>
          <w:sz w:val="21"/>
        </w:rPr>
        <w:t xml:space="preserve">Output / Post-Condition: </w:t>
      </w:r>
      <w:r>
        <w:rPr>
          <w:rFonts w:ascii="Calibri" w:hAnsi="Calibri"/>
          <w:color w:val="334155"/>
          <w:sz w:val="21"/>
        </w:rPr>
        <w:t>Atomic debit transaction succeeds; download history logged with tamper-proof timestamp.</w:t>
      </w:r>
    </w:p>
    <w:p>
      <w:pPr>
        <w:keepNext/>
        <w:spacing w:before="240" w:after="80"/>
      </w:pPr>
      <w:r>
        <w:rPr>
          <w:rFonts w:ascii="Calibri" w:hAnsi="Calibri"/>
          <w:b/>
          <w:color w:val="1E3A8A"/>
          <w:sz w:val="25"/>
        </w:rPr>
        <w:t>3.3 WF-05: Gig Contracting &amp; Temporal Conflict Guard</w:t>
      </w:r>
    </w:p>
    <w:p>
      <w:pPr>
        <w:pStyle w:val="ListBullet"/>
        <w:spacing w:before="0" w:after="60" w:line="276" w:lineRule="auto"/>
      </w:pPr>
      <w:r>
        <w:rPr>
          <w:rFonts w:ascii="Calibri" w:hAnsi="Calibri"/>
          <w:b/>
          <w:color w:val="0F172A"/>
          <w:sz w:val="21"/>
        </w:rPr>
        <w:t xml:space="preserve">Trigger: </w:t>
      </w:r>
      <w:r>
        <w:rPr>
          <w:rFonts w:ascii="Calibri" w:hAnsi="Calibri"/>
          <w:color w:val="334155"/>
          <w:sz w:val="21"/>
        </w:rPr>
        <w:t>Hiring organization creates milestone gig contract award for selected freelancer.</w:t>
      </w:r>
    </w:p>
    <w:p>
      <w:pPr>
        <w:pStyle w:val="ListBullet"/>
        <w:spacing w:before="0" w:after="60" w:line="276" w:lineRule="auto"/>
      </w:pPr>
      <w:r>
        <w:rPr>
          <w:rFonts w:ascii="Calibri" w:hAnsi="Calibri"/>
          <w:b/>
          <w:color w:val="0F172A"/>
          <w:sz w:val="21"/>
        </w:rPr>
        <w:t xml:space="preserve">Steps: </w:t>
      </w:r>
      <w:r>
        <w:rPr>
          <w:rFonts w:ascii="Calibri" w:hAnsi="Calibri"/>
          <w:color w:val="334155"/>
          <w:sz w:val="21"/>
        </w:rPr>
        <w:t>1. Organization inputs contract code, compensation amount, and start/end dates [start_date, end_date].</w:t>
        <w:br/>
        <w:t>2. Database attempts to INSERT into gig.gig_contract with contract_validity_period.</w:t>
        <w:br/>
        <w:t>3. PostgreSQL evaluates EXCLUDE USING gist (gig_worker_profile_id WITH =, contract_validity_period WITH &amp;&amp;).</w:t>
        <w:br/>
        <w:t>4. If overlapping contract exists for that worker, database throws exclusion_violation (code 23P01) and aborts transaction.</w:t>
        <w:br/>
        <w:t>5. If no overlap, contract is marked SCHEDULED and escrow funds are locked in wallet account.</w:t>
      </w:r>
    </w:p>
    <w:p>
      <w:pPr>
        <w:pStyle w:val="ListBullet"/>
        <w:spacing w:before="0" w:after="60" w:line="276" w:lineRule="auto"/>
      </w:pPr>
      <w:r>
        <w:rPr>
          <w:rFonts w:ascii="Calibri" w:hAnsi="Calibri"/>
          <w:b/>
          <w:color w:val="0F172A"/>
          <w:sz w:val="21"/>
        </w:rPr>
        <w:t xml:space="preserve">Output / Post-Condition: </w:t>
      </w:r>
      <w:r>
        <w:rPr>
          <w:rFonts w:ascii="Calibri" w:hAnsi="Calibri"/>
          <w:color w:val="334155"/>
          <w:sz w:val="21"/>
        </w:rPr>
        <w:t>Contract is committed; worker availability calendar is automatically updated; double-booking is mathematically prevented.</w:t>
      </w:r>
    </w:p>
    <w:p>
      <w:pPr>
        <w:keepNext/>
        <w:spacing w:before="320" w:after="120"/>
      </w:pPr>
      <w:r>
        <w:rPr>
          <w:rFonts w:ascii="Calibri" w:hAnsi="Calibri"/>
          <w:b/>
          <w:color w:val="0F172A"/>
          <w:sz w:val="30"/>
        </w:rPr>
        <w:t>4. Comprehensive Exception &amp; Compensation Catalogue</w:t>
      </w:r>
    </w:p>
    <w:p>
      <w:pPr>
        <w:spacing w:before="0" w:after="120" w:line="276" w:lineRule="auto"/>
      </w:pPr>
      <w:r>
        <w:rPr>
          <w:rFonts w:ascii="Calibri" w:hAnsi="Calibri"/>
          <w:color w:val="334155"/>
          <w:sz w:val="21"/>
        </w:rPr>
        <w:t>To avoid the common anti-pattern of 'happy-path-only' modeling, Talentra explicitly models failure, cancellation, retry, and timeout mitigation paths: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1E3A8A"/>
          </w:tcPr>
          <w:p>
            <w:pPr>
              <w:jc w:val="left"/>
            </w:pPr>
            <w:r>
              <w:rPr>
                <w:rFonts w:ascii="Calibri" w:hAnsi="Calibri"/>
                <w:b/>
                <w:color w:val="FFFFFF"/>
                <w:sz w:val="19"/>
              </w:rPr>
              <w:t>Exception ID</w:t>
            </w:r>
          </w:p>
        </w:tc>
        <w:tc>
          <w:tcPr>
            <w:tcW w:type="dxa" w:w="2016"/>
            <w:shd w:fill="1E3A8A"/>
          </w:tcPr>
          <w:p>
            <w:pPr>
              <w:jc w:val="left"/>
            </w:pPr>
            <w:r>
              <w:rPr>
                <w:rFonts w:ascii="Calibri" w:hAnsi="Calibri"/>
                <w:b/>
                <w:color w:val="FFFFFF"/>
                <w:sz w:val="19"/>
              </w:rPr>
              <w:t>Failure / Edge Scenario</w:t>
            </w:r>
          </w:p>
        </w:tc>
        <w:tc>
          <w:tcPr>
            <w:tcW w:type="dxa" w:w="2160"/>
            <w:shd w:fill="1E3A8A"/>
          </w:tcPr>
          <w:p>
            <w:pPr>
              <w:jc w:val="left"/>
            </w:pPr>
            <w:r>
              <w:rPr>
                <w:rFonts w:ascii="Calibri" w:hAnsi="Calibri"/>
                <w:b/>
                <w:color w:val="FFFFFF"/>
                <w:sz w:val="19"/>
              </w:rPr>
              <w:t>Triggering Condition</w:t>
            </w:r>
          </w:p>
        </w:tc>
        <w:tc>
          <w:tcPr>
            <w:tcW w:type="dxa" w:w="2592"/>
            <w:shd w:fill="1E3A8A"/>
          </w:tcPr>
          <w:p>
            <w:pPr>
              <w:jc w:val="left"/>
            </w:pPr>
            <w:r>
              <w:rPr>
                <w:rFonts w:ascii="Calibri" w:hAnsi="Calibri"/>
                <w:b/>
                <w:color w:val="FFFFFF"/>
                <w:sz w:val="19"/>
              </w:rPr>
              <w:t>System Mitigation &amp; Rollback Action</w:t>
            </w:r>
          </w:p>
        </w:tc>
        <w:tc>
          <w:tcPr>
            <w:tcW w:type="dxa" w:w="1440"/>
            <w:shd w:fill="1E3A8A"/>
          </w:tcPr>
          <w:p>
            <w:pPr>
              <w:jc w:val="left"/>
            </w:pPr>
            <w:r>
              <w:rPr>
                <w:rFonts w:ascii="Calibri" w:hAnsi="Calibri"/>
                <w:b/>
                <w:color w:val="FFFFFF"/>
                <w:sz w:val="19"/>
              </w:rPr>
              <w:t>Final System State</w:t>
            </w:r>
          </w:p>
        </w:tc>
      </w:tr>
      <w:tr>
        <w:tc>
          <w:tcPr>
            <w:tcW w:type="dxa" w:w="1152"/>
            <w:shd w:fill="FFFFFF"/>
          </w:tcPr>
          <w:p>
            <w:pPr>
              <w:jc w:val="left"/>
            </w:pPr>
            <w:r>
              <w:rPr>
                <w:rFonts w:ascii="Calibri" w:hAnsi="Calibri"/>
                <w:color w:val="334155"/>
                <w:sz w:val="18"/>
              </w:rPr>
              <w:t>EXC-01</w:t>
            </w:r>
          </w:p>
        </w:tc>
        <w:tc>
          <w:tcPr>
            <w:tcW w:type="dxa" w:w="2016"/>
            <w:shd w:fill="FFFFFF"/>
          </w:tcPr>
          <w:p>
            <w:pPr>
              <w:jc w:val="left"/>
            </w:pPr>
            <w:r>
              <w:rPr>
                <w:rFonts w:ascii="Calibri" w:hAnsi="Calibri"/>
                <w:color w:val="334155"/>
                <w:sz w:val="18"/>
              </w:rPr>
              <w:t>Concurrent Gig Scheduling Conflict</w:t>
            </w:r>
          </w:p>
        </w:tc>
        <w:tc>
          <w:tcPr>
            <w:tcW w:type="dxa" w:w="2160"/>
            <w:shd w:fill="FFFFFF"/>
          </w:tcPr>
          <w:p>
            <w:pPr>
              <w:jc w:val="left"/>
            </w:pPr>
            <w:r>
              <w:rPr>
                <w:rFonts w:ascii="Calibri" w:hAnsi="Calibri"/>
                <w:color w:val="334155"/>
                <w:sz w:val="18"/>
              </w:rPr>
              <w:t>Two recruiters attempt to book same gig worker for overlapping dates</w:t>
            </w:r>
          </w:p>
        </w:tc>
        <w:tc>
          <w:tcPr>
            <w:tcW w:type="dxa" w:w="2592"/>
            <w:shd w:fill="FFFFFF"/>
          </w:tcPr>
          <w:p>
            <w:pPr>
              <w:jc w:val="left"/>
            </w:pPr>
            <w:r>
              <w:rPr>
                <w:rFonts w:ascii="Calibri" w:hAnsi="Calibri"/>
                <w:color w:val="334155"/>
                <w:sz w:val="18"/>
              </w:rPr>
              <w:t>GiST exclusion constraint aborts second transaction immediately with code 23P01</w:t>
            </w:r>
          </w:p>
        </w:tc>
        <w:tc>
          <w:tcPr>
            <w:tcW w:type="dxa" w:w="1440"/>
            <w:shd w:fill="FFFFFF"/>
          </w:tcPr>
          <w:p>
            <w:pPr>
              <w:jc w:val="left"/>
            </w:pPr>
            <w:r>
              <w:rPr>
                <w:rFonts w:ascii="Calibri" w:hAnsi="Calibri"/>
                <w:color w:val="334155"/>
                <w:sz w:val="18"/>
              </w:rPr>
              <w:t>First booking succeeds; second recruiter receives conflict alert with available dates</w:t>
            </w:r>
          </w:p>
        </w:tc>
      </w:tr>
      <w:tr>
        <w:tc>
          <w:tcPr>
            <w:tcW w:type="dxa" w:w="1152"/>
            <w:shd w:fill="F8FAFC"/>
          </w:tcPr>
          <w:p>
            <w:pPr>
              <w:jc w:val="left"/>
            </w:pPr>
            <w:r>
              <w:rPr>
                <w:rFonts w:ascii="Calibri" w:hAnsi="Calibri"/>
                <w:color w:val="334155"/>
                <w:sz w:val="18"/>
              </w:rPr>
              <w:t>EXC-02</w:t>
            </w:r>
          </w:p>
        </w:tc>
        <w:tc>
          <w:tcPr>
            <w:tcW w:type="dxa" w:w="2016"/>
            <w:shd w:fill="F8FAFC"/>
          </w:tcPr>
          <w:p>
            <w:pPr>
              <w:jc w:val="left"/>
            </w:pPr>
            <w:r>
              <w:rPr>
                <w:rFonts w:ascii="Calibri" w:hAnsi="Calibri"/>
                <w:color w:val="334155"/>
                <w:sz w:val="18"/>
              </w:rPr>
              <w:t>Wallet Balance Insufficient</w:t>
            </w:r>
          </w:p>
        </w:tc>
        <w:tc>
          <w:tcPr>
            <w:tcW w:type="dxa" w:w="2160"/>
            <w:shd w:fill="F8FAFC"/>
          </w:tcPr>
          <w:p>
            <w:pPr>
              <w:jc w:val="left"/>
            </w:pPr>
            <w:r>
              <w:rPr>
                <w:rFonts w:ascii="Calibri" w:hAnsi="Calibri"/>
                <w:color w:val="334155"/>
                <w:sz w:val="18"/>
              </w:rPr>
              <w:t>Recruiter attempts resume unlock or gig award without sufficient cleared funds</w:t>
            </w:r>
          </w:p>
        </w:tc>
        <w:tc>
          <w:tcPr>
            <w:tcW w:type="dxa" w:w="2592"/>
            <w:shd w:fill="F8FAFC"/>
          </w:tcPr>
          <w:p>
            <w:pPr>
              <w:jc w:val="left"/>
            </w:pPr>
            <w:r>
              <w:rPr>
                <w:rFonts w:ascii="Calibri" w:hAnsi="Calibri"/>
                <w:color w:val="334155"/>
                <w:sz w:val="18"/>
              </w:rPr>
              <w:t>Pre-check evaluates cleared_balance - unlock_fee &lt; 0; transaction rejected</w:t>
            </w:r>
          </w:p>
        </w:tc>
        <w:tc>
          <w:tcPr>
            <w:tcW w:type="dxa" w:w="1440"/>
            <w:shd w:fill="F8FAFC"/>
          </w:tcPr>
          <w:p>
            <w:pPr>
              <w:jc w:val="left"/>
            </w:pPr>
            <w:r>
              <w:rPr>
                <w:rFonts w:ascii="Calibri" w:hAnsi="Calibri"/>
                <w:color w:val="334155"/>
                <w:sz w:val="18"/>
              </w:rPr>
              <w:t>Wallet remains unchanged; recruiter prompted to top-up wallet via external payment gateway</w:t>
            </w:r>
          </w:p>
        </w:tc>
      </w:tr>
      <w:tr>
        <w:tc>
          <w:tcPr>
            <w:tcW w:type="dxa" w:w="1152"/>
            <w:shd w:fill="FFFFFF"/>
          </w:tcPr>
          <w:p>
            <w:pPr>
              <w:jc w:val="left"/>
            </w:pPr>
            <w:r>
              <w:rPr>
                <w:rFonts w:ascii="Calibri" w:hAnsi="Calibri"/>
                <w:color w:val="334155"/>
                <w:sz w:val="18"/>
              </w:rPr>
              <w:t>EXC-03</w:t>
            </w:r>
          </w:p>
        </w:tc>
        <w:tc>
          <w:tcPr>
            <w:tcW w:type="dxa" w:w="2016"/>
            <w:shd w:fill="FFFFFF"/>
          </w:tcPr>
          <w:p>
            <w:pPr>
              <w:jc w:val="left"/>
            </w:pPr>
            <w:r>
              <w:rPr>
                <w:rFonts w:ascii="Calibri" w:hAnsi="Calibri"/>
                <w:color w:val="334155"/>
                <w:sz w:val="18"/>
              </w:rPr>
              <w:t>Illegal Lifecycle State Jump</w:t>
            </w:r>
          </w:p>
        </w:tc>
        <w:tc>
          <w:tcPr>
            <w:tcW w:type="dxa" w:w="2160"/>
            <w:shd w:fill="FFFFFF"/>
          </w:tcPr>
          <w:p>
            <w:pPr>
              <w:jc w:val="left"/>
            </w:pPr>
            <w:r>
              <w:rPr>
                <w:rFonts w:ascii="Calibri" w:hAnsi="Calibri"/>
                <w:color w:val="334155"/>
                <w:sz w:val="18"/>
              </w:rPr>
              <w:t>Recruiter attempts to transition candidate directly from 'APPLIED' to 'HIRED' without interview</w:t>
            </w:r>
          </w:p>
        </w:tc>
        <w:tc>
          <w:tcPr>
            <w:tcW w:type="dxa" w:w="2592"/>
            <w:shd w:fill="FFFFFF"/>
          </w:tcPr>
          <w:p>
            <w:pPr>
              <w:jc w:val="left"/>
            </w:pPr>
            <w:r>
              <w:rPr>
                <w:rFonts w:ascii="Calibri" w:hAnsi="Calibri"/>
                <w:color w:val="334155"/>
                <w:sz w:val="18"/>
              </w:rPr>
              <w:t>Database check constraint and validation trigger enforce valid state transitions</w:t>
            </w:r>
          </w:p>
        </w:tc>
        <w:tc>
          <w:tcPr>
            <w:tcW w:type="dxa" w:w="1440"/>
            <w:shd w:fill="FFFFFF"/>
          </w:tcPr>
          <w:p>
            <w:pPr>
              <w:jc w:val="left"/>
            </w:pPr>
            <w:r>
              <w:rPr>
                <w:rFonts w:ascii="Calibri" w:hAnsi="Calibri"/>
                <w:color w:val="334155"/>
                <w:sz w:val="18"/>
              </w:rPr>
              <w:t>Mutation aborted with exception 'Invalid status transition'; audit event logged</w:t>
            </w:r>
          </w:p>
        </w:tc>
      </w:tr>
      <w:tr>
        <w:tc>
          <w:tcPr>
            <w:tcW w:type="dxa" w:w="1152"/>
            <w:shd w:fill="F8FAFC"/>
          </w:tcPr>
          <w:p>
            <w:pPr>
              <w:jc w:val="left"/>
            </w:pPr>
            <w:r>
              <w:rPr>
                <w:rFonts w:ascii="Calibri" w:hAnsi="Calibri"/>
                <w:color w:val="334155"/>
                <w:sz w:val="18"/>
              </w:rPr>
              <w:t>EXC-04</w:t>
            </w:r>
          </w:p>
        </w:tc>
        <w:tc>
          <w:tcPr>
            <w:tcW w:type="dxa" w:w="2016"/>
            <w:shd w:fill="F8FAFC"/>
          </w:tcPr>
          <w:p>
            <w:pPr>
              <w:jc w:val="left"/>
            </w:pPr>
            <w:r>
              <w:rPr>
                <w:rFonts w:ascii="Calibri" w:hAnsi="Calibri"/>
                <w:color w:val="334155"/>
                <w:sz w:val="18"/>
              </w:rPr>
              <w:t>Simultaneous Multi-Device Session</w:t>
            </w:r>
          </w:p>
        </w:tc>
        <w:tc>
          <w:tcPr>
            <w:tcW w:type="dxa" w:w="2160"/>
            <w:shd w:fill="F8FAFC"/>
          </w:tcPr>
          <w:p>
            <w:pPr>
              <w:jc w:val="left"/>
            </w:pPr>
            <w:r>
              <w:rPr>
                <w:rFonts w:ascii="Calibri" w:hAnsi="Calibri"/>
                <w:color w:val="334155"/>
                <w:sz w:val="18"/>
              </w:rPr>
              <w:t>User logs in on second device while active session exists</w:t>
            </w:r>
          </w:p>
        </w:tc>
        <w:tc>
          <w:tcPr>
            <w:tcW w:type="dxa" w:w="2592"/>
            <w:shd w:fill="F8FAFC"/>
          </w:tcPr>
          <w:p>
            <w:pPr>
              <w:jc w:val="left"/>
            </w:pPr>
            <w:r>
              <w:rPr>
                <w:rFonts w:ascii="Calibri" w:hAnsi="Calibri"/>
                <w:color w:val="334155"/>
                <w:sz w:val="18"/>
              </w:rPr>
              <w:t>Stored procedure enforce_single_active_session() invalidates prior session token</w:t>
            </w:r>
          </w:p>
        </w:tc>
        <w:tc>
          <w:tcPr>
            <w:tcW w:type="dxa" w:w="1440"/>
            <w:shd w:fill="F8FAFC"/>
          </w:tcPr>
          <w:p>
            <w:pPr>
              <w:jc w:val="left"/>
            </w:pPr>
            <w:r>
              <w:rPr>
                <w:rFonts w:ascii="Calibri" w:hAnsi="Calibri"/>
                <w:color w:val="334155"/>
                <w:sz w:val="18"/>
              </w:rPr>
              <w:t>Previous device session terminated; new device granted active session</w:t>
            </w:r>
          </w:p>
        </w:tc>
      </w:tr>
      <w:tr>
        <w:tc>
          <w:tcPr>
            <w:tcW w:type="dxa" w:w="1152"/>
            <w:shd w:fill="FFFFFF"/>
          </w:tcPr>
          <w:p>
            <w:pPr>
              <w:jc w:val="left"/>
            </w:pPr>
            <w:r>
              <w:rPr>
                <w:rFonts w:ascii="Calibri" w:hAnsi="Calibri"/>
                <w:color w:val="334155"/>
                <w:sz w:val="18"/>
              </w:rPr>
              <w:t>EXC-05</w:t>
            </w:r>
          </w:p>
        </w:tc>
        <w:tc>
          <w:tcPr>
            <w:tcW w:type="dxa" w:w="2016"/>
            <w:shd w:fill="FFFFFF"/>
          </w:tcPr>
          <w:p>
            <w:pPr>
              <w:jc w:val="left"/>
            </w:pPr>
            <w:r>
              <w:rPr>
                <w:rFonts w:ascii="Calibri" w:hAnsi="Calibri"/>
                <w:color w:val="334155"/>
                <w:sz w:val="18"/>
              </w:rPr>
              <w:t>Webhook Payment Timeout</w:t>
            </w:r>
          </w:p>
        </w:tc>
        <w:tc>
          <w:tcPr>
            <w:tcW w:type="dxa" w:w="2160"/>
            <w:shd w:fill="FFFFFF"/>
          </w:tcPr>
          <w:p>
            <w:pPr>
              <w:jc w:val="left"/>
            </w:pPr>
            <w:r>
              <w:rPr>
                <w:rFonts w:ascii="Calibri" w:hAnsi="Calibri"/>
                <w:color w:val="334155"/>
                <w:sz w:val="18"/>
              </w:rPr>
              <w:t>External payment gateway webhook times out or delivers duplicate notification</w:t>
            </w:r>
          </w:p>
        </w:tc>
        <w:tc>
          <w:tcPr>
            <w:tcW w:type="dxa" w:w="2592"/>
            <w:shd w:fill="FFFFFF"/>
          </w:tcPr>
          <w:p>
            <w:pPr>
              <w:jc w:val="left"/>
            </w:pPr>
            <w:r>
              <w:rPr>
                <w:rFonts w:ascii="Calibri" w:hAnsi="Calibri"/>
                <w:color w:val="334155"/>
                <w:sz w:val="18"/>
              </w:rPr>
              <w:t>Idempotency key check on transaction reference; queued for background exponential retry</w:t>
            </w:r>
          </w:p>
        </w:tc>
        <w:tc>
          <w:tcPr>
            <w:tcW w:type="dxa" w:w="1440"/>
            <w:shd w:fill="FFFFFF"/>
          </w:tcPr>
          <w:p>
            <w:pPr>
              <w:jc w:val="left"/>
            </w:pPr>
            <w:r>
              <w:rPr>
                <w:rFonts w:ascii="Calibri" w:hAnsi="Calibri"/>
                <w:color w:val="334155"/>
                <w:sz w:val="18"/>
              </w:rPr>
              <w:t>Duplicate payloads dropped; unacknowledged events retried up to 5 times before alerting</w:t>
            </w:r>
          </w:p>
        </w:tc>
      </w:tr>
      <w:tr>
        <w:tc>
          <w:tcPr>
            <w:tcW w:type="dxa" w:w="1152"/>
            <w:shd w:fill="F8FAFC"/>
          </w:tcPr>
          <w:p>
            <w:pPr>
              <w:jc w:val="left"/>
            </w:pPr>
            <w:r>
              <w:rPr>
                <w:rFonts w:ascii="Calibri" w:hAnsi="Calibri"/>
                <w:color w:val="334155"/>
                <w:sz w:val="18"/>
              </w:rPr>
              <w:t>EXC-06</w:t>
            </w:r>
          </w:p>
        </w:tc>
        <w:tc>
          <w:tcPr>
            <w:tcW w:type="dxa" w:w="2016"/>
            <w:shd w:fill="F8FAFC"/>
          </w:tcPr>
          <w:p>
            <w:pPr>
              <w:jc w:val="left"/>
            </w:pPr>
            <w:r>
              <w:rPr>
                <w:rFonts w:ascii="Calibri" w:hAnsi="Calibri"/>
                <w:color w:val="334155"/>
                <w:sz w:val="18"/>
              </w:rPr>
              <w:t>Gig Milestone Dispute / Cancellation</w:t>
            </w:r>
          </w:p>
        </w:tc>
        <w:tc>
          <w:tcPr>
            <w:tcW w:type="dxa" w:w="2160"/>
            <w:shd w:fill="F8FAFC"/>
          </w:tcPr>
          <w:p>
            <w:pPr>
              <w:jc w:val="left"/>
            </w:pPr>
            <w:r>
              <w:rPr>
                <w:rFonts w:ascii="Calibri" w:hAnsi="Calibri"/>
                <w:color w:val="334155"/>
                <w:sz w:val="18"/>
              </w:rPr>
              <w:t>Client cancels gig project before milestone delivery</w:t>
            </w:r>
          </w:p>
        </w:tc>
        <w:tc>
          <w:tcPr>
            <w:tcW w:type="dxa" w:w="2592"/>
            <w:shd w:fill="F8FAFC"/>
          </w:tcPr>
          <w:p>
            <w:pPr>
              <w:jc w:val="left"/>
            </w:pPr>
            <w:r>
              <w:rPr>
                <w:rFonts w:ascii="Calibri" w:hAnsi="Calibri"/>
                <w:color w:val="334155"/>
                <w:sz w:val="18"/>
              </w:rPr>
              <w:t>Escrow compensation trigger evaluates cancellation policy; posts partial refund to client and partial fee to worker</w:t>
            </w:r>
          </w:p>
        </w:tc>
        <w:tc>
          <w:tcPr>
            <w:tcW w:type="dxa" w:w="1440"/>
            <w:shd w:fill="F8FAFC"/>
          </w:tcPr>
          <w:p>
            <w:pPr>
              <w:jc w:val="left"/>
            </w:pPr>
            <w:r>
              <w:rPr>
                <w:rFonts w:ascii="Calibri" w:hAnsi="Calibri"/>
                <w:color w:val="334155"/>
                <w:sz w:val="18"/>
              </w:rPr>
              <w:t>Wallet ledger posts compensating CREDIT and DEBIT entries; contract marked CANCELLED</w:t>
            </w:r>
          </w:p>
        </w:tc>
      </w:tr>
      <w:tr>
        <w:tc>
          <w:tcPr>
            <w:tcW w:type="dxa" w:w="1152"/>
            <w:shd w:fill="FFFFFF"/>
          </w:tcPr>
          <w:p>
            <w:pPr>
              <w:jc w:val="left"/>
            </w:pPr>
            <w:r>
              <w:rPr>
                <w:rFonts w:ascii="Calibri" w:hAnsi="Calibri"/>
                <w:color w:val="334155"/>
                <w:sz w:val="18"/>
              </w:rPr>
              <w:t>EXC-07</w:t>
            </w:r>
          </w:p>
        </w:tc>
        <w:tc>
          <w:tcPr>
            <w:tcW w:type="dxa" w:w="2016"/>
            <w:shd w:fill="FFFFFF"/>
          </w:tcPr>
          <w:p>
            <w:pPr>
              <w:jc w:val="left"/>
            </w:pPr>
            <w:r>
              <w:rPr>
                <w:rFonts w:ascii="Calibri" w:hAnsi="Calibri"/>
                <w:color w:val="334155"/>
                <w:sz w:val="18"/>
              </w:rPr>
              <w:t>Expired Subscription Quota</w:t>
            </w:r>
          </w:p>
        </w:tc>
        <w:tc>
          <w:tcPr>
            <w:tcW w:type="dxa" w:w="2160"/>
            <w:shd w:fill="FFFFFF"/>
          </w:tcPr>
          <w:p>
            <w:pPr>
              <w:jc w:val="left"/>
            </w:pPr>
            <w:r>
              <w:rPr>
                <w:rFonts w:ascii="Calibri" w:hAnsi="Calibri"/>
                <w:color w:val="334155"/>
                <w:sz w:val="18"/>
              </w:rPr>
              <w:t>Organization attempts to assign 11th recruiter seat when license allows 10</w:t>
            </w:r>
          </w:p>
        </w:tc>
        <w:tc>
          <w:tcPr>
            <w:tcW w:type="dxa" w:w="2592"/>
            <w:shd w:fill="FFFFFF"/>
          </w:tcPr>
          <w:p>
            <w:pPr>
              <w:jc w:val="left"/>
            </w:pPr>
            <w:r>
              <w:rPr>
                <w:rFonts w:ascii="Calibri" w:hAnsi="Calibri"/>
                <w:color w:val="334155"/>
                <w:sz w:val="18"/>
              </w:rPr>
              <w:t>Before-insert trigger validates count(recruiter_seats) &lt;= max_recruiter_seats</w:t>
            </w:r>
          </w:p>
        </w:tc>
        <w:tc>
          <w:tcPr>
            <w:tcW w:type="dxa" w:w="1440"/>
            <w:shd w:fill="FFFFFF"/>
          </w:tcPr>
          <w:p>
            <w:pPr>
              <w:jc w:val="left"/>
            </w:pPr>
            <w:r>
              <w:rPr>
                <w:rFonts w:ascii="Calibri" w:hAnsi="Calibri"/>
                <w:color w:val="334155"/>
                <w:sz w:val="18"/>
              </w:rPr>
              <w:t>Insert aborted with license_limit_exceeded; enterprise account admin notified to upgrade tier</w:t>
            </w:r>
          </w:p>
        </w:tc>
      </w:tr>
    </w:tbl>
    <w:p/>
    <w:p>
      <w:pPr>
        <w:keepNext/>
        <w:spacing w:before="320" w:after="120"/>
      </w:pPr>
      <w:r>
        <w:rPr>
          <w:rFonts w:ascii="Calibri" w:hAnsi="Calibri"/>
          <w:b/>
          <w:color w:val="0F172A"/>
          <w:sz w:val="30"/>
        </w:rPr>
        <w:t>5. State Transition Machine &amp; Invariants</w:t>
      </w:r>
    </w:p>
    <w:p>
      <w:pPr>
        <w:spacing w:before="0" w:after="120" w:line="276" w:lineRule="auto"/>
      </w:pPr>
      <w:r>
        <w:rPr>
          <w:rFonts w:ascii="Calibri" w:hAnsi="Calibri"/>
          <w:color w:val="334155"/>
          <w:sz w:val="21"/>
        </w:rPr>
        <w:t>Talentra models strict finite state machines across all critical operational entities:</w:t>
      </w:r>
    </w:p>
    <w:p>
      <w:pPr>
        <w:pStyle w:val="ListBullet"/>
        <w:spacing w:before="0" w:after="60" w:line="276" w:lineRule="auto"/>
      </w:pPr>
      <w:r>
        <w:rPr>
          <w:rFonts w:ascii="Calibri" w:hAnsi="Calibri"/>
          <w:b/>
          <w:color w:val="0F172A"/>
          <w:sz w:val="21"/>
        </w:rPr>
        <w:t xml:space="preserve">Job Application Lifecycle: </w:t>
      </w:r>
      <w:r>
        <w:rPr>
          <w:rFonts w:ascii="Calibri" w:hAnsi="Calibri"/>
          <w:color w:val="334155"/>
          <w:sz w:val="21"/>
        </w:rPr>
        <w:t>DRAFT -&gt; SUBMITTED -&gt; UNDER_REVIEW -&gt; SHORTLISTED -&gt; TECHNICAL_ASSESSMENT -&gt; INTERVIEW_SCHEDULED -&gt; OFFER_EXTENDED -&gt; OFFER_ACCEPTED -&gt; HIRED (or REJECTED / WITHDRAWN at any pre-offer stage). Illegal transitions backwards or skipping mandatory stages are blocked.</w:t>
      </w:r>
    </w:p>
    <w:p>
      <w:pPr>
        <w:pStyle w:val="ListBullet"/>
        <w:spacing w:before="0" w:after="60" w:line="276" w:lineRule="auto"/>
      </w:pPr>
      <w:r>
        <w:rPr>
          <w:rFonts w:ascii="Calibri" w:hAnsi="Calibri"/>
          <w:b/>
          <w:color w:val="0F172A"/>
          <w:sz w:val="21"/>
        </w:rPr>
        <w:t xml:space="preserve">Gig Contract Lifecycle: </w:t>
      </w:r>
      <w:r>
        <w:rPr>
          <w:rFonts w:ascii="Calibri" w:hAnsi="Calibri"/>
          <w:color w:val="334155"/>
          <w:sz w:val="21"/>
        </w:rPr>
        <w:t>DRAFT -&gt; PENDING_ACCEPTANCE -&gt; SCHEDULED -&gt; IN_PROGRESS -&gt; MILESTONE_SUBMITTED -&gt; COMPLETED (or CANCELLED / DISPUTED). Funds remain in escrow until COMPLETED or DISPUTE_RESOLVED.</w:t>
      </w:r>
    </w:p>
    <w:p>
      <w:pPr>
        <w:pStyle w:val="ListBullet"/>
        <w:spacing w:before="0" w:after="60" w:line="276" w:lineRule="auto"/>
      </w:pPr>
      <w:r>
        <w:rPr>
          <w:rFonts w:ascii="Calibri" w:hAnsi="Calibri"/>
          <w:b/>
          <w:color w:val="0F172A"/>
          <w:sz w:val="21"/>
        </w:rPr>
        <w:t xml:space="preserve">Subscription License Lifecycle: </w:t>
      </w:r>
      <w:r>
        <w:rPr>
          <w:rFonts w:ascii="Calibri" w:hAnsi="Calibri"/>
          <w:color w:val="334155"/>
          <w:sz w:val="21"/>
        </w:rPr>
        <w:t>ACTIVE -&gt; PAYMENT_PENDING -&gt; SUSPENDED -&gt; CANCELLED -&gt; EXPIRED. Seats are immediately frozen upon SUSPENDED or EXPIRED transitions.</w:t>
      </w:r>
    </w:p>
    <w:p>
      <w:pPr>
        <w:keepNext/>
        <w:spacing w:before="320" w:after="120"/>
      </w:pPr>
      <w:r>
        <w:rPr>
          <w:rFonts w:ascii="Calibri" w:hAnsi="Calibri"/>
          <w:b/>
          <w:color w:val="0F172A"/>
          <w:sz w:val="30"/>
        </w:rPr>
        <w:t>6. Feature-to-Workflow Traceability Matrix</w:t>
      </w:r>
    </w:p>
    <w:p>
      <w:pPr>
        <w:spacing w:before="0" w:after="120" w:line="276" w:lineRule="auto"/>
      </w:pPr>
      <w:r>
        <w:rPr>
          <w:rFonts w:ascii="Calibri" w:hAnsi="Calibri"/>
          <w:color w:val="334155"/>
          <w:sz w:val="21"/>
        </w:rPr>
        <w:t>Verification that all 20 must-have and differentiator features from Deliverable C appear in active workflows: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1E3A8A"/>
          </w:tcPr>
          <w:p>
            <w:pPr>
              <w:jc w:val="left"/>
            </w:pPr>
            <w:r>
              <w:rPr>
                <w:rFonts w:ascii="Calibri" w:hAnsi="Calibri"/>
                <w:b/>
                <w:color w:val="FFFFFF"/>
                <w:sz w:val="19"/>
              </w:rPr>
              <w:t>Feature ID</w:t>
            </w:r>
          </w:p>
        </w:tc>
        <w:tc>
          <w:tcPr>
            <w:tcW w:type="dxa" w:w="2592"/>
            <w:shd w:fill="1E3A8A"/>
          </w:tcPr>
          <w:p>
            <w:pPr>
              <w:jc w:val="left"/>
            </w:pPr>
            <w:r>
              <w:rPr>
                <w:rFonts w:ascii="Calibri" w:hAnsi="Calibri"/>
                <w:b/>
                <w:color w:val="FFFFFF"/>
                <w:sz w:val="19"/>
              </w:rPr>
              <w:t>Feature Title</w:t>
            </w:r>
          </w:p>
        </w:tc>
        <w:tc>
          <w:tcPr>
            <w:tcW w:type="dxa" w:w="1440"/>
            <w:shd w:fill="1E3A8A"/>
          </w:tcPr>
          <w:p>
            <w:pPr>
              <w:jc w:val="left"/>
            </w:pPr>
            <w:r>
              <w:rPr>
                <w:rFonts w:ascii="Calibri" w:hAnsi="Calibri"/>
                <w:b/>
                <w:color w:val="FFFFFF"/>
                <w:sz w:val="19"/>
              </w:rPr>
              <w:t>Pillar</w:t>
            </w:r>
          </w:p>
        </w:tc>
        <w:tc>
          <w:tcPr>
            <w:tcW w:type="dxa" w:w="2160"/>
            <w:shd w:fill="1E3A8A"/>
          </w:tcPr>
          <w:p>
            <w:pPr>
              <w:jc w:val="left"/>
            </w:pPr>
            <w:r>
              <w:rPr>
                <w:rFonts w:ascii="Calibri" w:hAnsi="Calibri"/>
                <w:b/>
                <w:color w:val="FFFFFF"/>
                <w:sz w:val="19"/>
              </w:rPr>
              <w:t>Covered in Workflow(s)</w:t>
            </w:r>
          </w:p>
        </w:tc>
        <w:tc>
          <w:tcPr>
            <w:tcW w:type="dxa" w:w="2016"/>
            <w:shd w:fill="1E3A8A"/>
          </w:tcPr>
          <w:p>
            <w:pPr>
              <w:jc w:val="left"/>
            </w:pPr>
            <w:r>
              <w:rPr>
                <w:rFonts w:ascii="Calibri" w:hAnsi="Calibri"/>
                <w:b/>
                <w:color w:val="FFFFFF"/>
                <w:sz w:val="19"/>
              </w:rPr>
              <w:t>Verification Status</w:t>
            </w:r>
          </w:p>
        </w:tc>
      </w:tr>
      <w:tr>
        <w:tc>
          <w:tcPr>
            <w:tcW w:type="dxa" w:w="1152"/>
            <w:shd w:fill="FFFFFF"/>
          </w:tcPr>
          <w:p>
            <w:pPr>
              <w:jc w:val="left"/>
            </w:pPr>
            <w:r>
              <w:rPr>
                <w:rFonts w:ascii="Calibri" w:hAnsi="Calibri"/>
                <w:color w:val="334155"/>
                <w:sz w:val="18"/>
              </w:rPr>
              <w:t>F-01</w:t>
            </w:r>
          </w:p>
        </w:tc>
        <w:tc>
          <w:tcPr>
            <w:tcW w:type="dxa" w:w="2592"/>
            <w:shd w:fill="FFFFFF"/>
          </w:tcPr>
          <w:p>
            <w:pPr>
              <w:jc w:val="left"/>
            </w:pPr>
            <w:r>
              <w:rPr>
                <w:rFonts w:ascii="Calibri" w:hAnsi="Calibri"/>
                <w:color w:val="334155"/>
                <w:sz w:val="18"/>
              </w:rPr>
              <w:t>Zero-Trust Unified Authentication</w:t>
            </w:r>
          </w:p>
        </w:tc>
        <w:tc>
          <w:tcPr>
            <w:tcW w:type="dxa" w:w="1440"/>
            <w:shd w:fill="FFFFFF"/>
          </w:tcPr>
          <w:p>
            <w:pPr>
              <w:jc w:val="left"/>
            </w:pPr>
            <w:r>
              <w:rPr>
                <w:rFonts w:ascii="Calibri" w:hAnsi="Calibri"/>
                <w:color w:val="334155"/>
                <w:sz w:val="18"/>
              </w:rPr>
              <w:t>Identity</w:t>
            </w:r>
          </w:p>
        </w:tc>
        <w:tc>
          <w:tcPr>
            <w:tcW w:type="dxa" w:w="2160"/>
            <w:shd w:fill="FFFFFF"/>
          </w:tcPr>
          <w:p>
            <w:pPr>
              <w:jc w:val="left"/>
            </w:pPr>
            <w:r>
              <w:rPr>
                <w:rFonts w:ascii="Calibri" w:hAnsi="Calibri"/>
                <w:color w:val="334155"/>
                <w:sz w:val="18"/>
              </w:rPr>
              <w:t>WF-01, WF-04, WF-05</w:t>
            </w:r>
          </w:p>
        </w:tc>
        <w:tc>
          <w:tcPr>
            <w:tcW w:type="dxa" w:w="2016"/>
            <w:shd w:fill="FFFFFF"/>
          </w:tcPr>
          <w:p>
            <w:pPr>
              <w:jc w:val="left"/>
            </w:pPr>
            <w:r>
              <w:rPr>
                <w:rFonts w:ascii="Calibri" w:hAnsi="Calibri"/>
                <w:color w:val="334155"/>
                <w:sz w:val="18"/>
              </w:rPr>
              <w:t>Validated via session lock and role verification</w:t>
            </w:r>
          </w:p>
        </w:tc>
      </w:tr>
      <w:tr>
        <w:tc>
          <w:tcPr>
            <w:tcW w:type="dxa" w:w="1152"/>
            <w:shd w:fill="F8FAFC"/>
          </w:tcPr>
          <w:p>
            <w:pPr>
              <w:jc w:val="left"/>
            </w:pPr>
            <w:r>
              <w:rPr>
                <w:rFonts w:ascii="Calibri" w:hAnsi="Calibri"/>
                <w:color w:val="334155"/>
                <w:sz w:val="18"/>
              </w:rPr>
              <w:t>F-02</w:t>
            </w:r>
          </w:p>
        </w:tc>
        <w:tc>
          <w:tcPr>
            <w:tcW w:type="dxa" w:w="2592"/>
            <w:shd w:fill="F8FAFC"/>
          </w:tcPr>
          <w:p>
            <w:pPr>
              <w:jc w:val="left"/>
            </w:pPr>
            <w:r>
              <w:rPr>
                <w:rFonts w:ascii="Calibri" w:hAnsi="Calibri"/>
                <w:color w:val="334155"/>
                <w:sz w:val="18"/>
              </w:rPr>
              <w:t>Granular RBAC Matrix</w:t>
            </w:r>
          </w:p>
        </w:tc>
        <w:tc>
          <w:tcPr>
            <w:tcW w:type="dxa" w:w="1440"/>
            <w:shd w:fill="F8FAFC"/>
          </w:tcPr>
          <w:p>
            <w:pPr>
              <w:jc w:val="left"/>
            </w:pPr>
            <w:r>
              <w:rPr>
                <w:rFonts w:ascii="Calibri" w:hAnsi="Calibri"/>
                <w:color w:val="334155"/>
                <w:sz w:val="18"/>
              </w:rPr>
              <w:t>Identity</w:t>
            </w:r>
          </w:p>
        </w:tc>
        <w:tc>
          <w:tcPr>
            <w:tcW w:type="dxa" w:w="2160"/>
            <w:shd w:fill="F8FAFC"/>
          </w:tcPr>
          <w:p>
            <w:pPr>
              <w:jc w:val="left"/>
            </w:pPr>
            <w:r>
              <w:rPr>
                <w:rFonts w:ascii="Calibri" w:hAnsi="Calibri"/>
                <w:color w:val="334155"/>
                <w:sz w:val="18"/>
              </w:rPr>
              <w:t>WF-02, WF-04, WF-06</w:t>
            </w:r>
          </w:p>
        </w:tc>
        <w:tc>
          <w:tcPr>
            <w:tcW w:type="dxa" w:w="2016"/>
            <w:shd w:fill="F8FAFC"/>
          </w:tcPr>
          <w:p>
            <w:pPr>
              <w:jc w:val="left"/>
            </w:pPr>
            <w:r>
              <w:rPr>
                <w:rFonts w:ascii="Calibri" w:hAnsi="Calibri"/>
                <w:color w:val="334155"/>
                <w:sz w:val="18"/>
              </w:rPr>
              <w:t>Validated via 11-module permission checks</w:t>
            </w:r>
          </w:p>
        </w:tc>
      </w:tr>
      <w:tr>
        <w:tc>
          <w:tcPr>
            <w:tcW w:type="dxa" w:w="1152"/>
            <w:shd w:fill="FFFFFF"/>
          </w:tcPr>
          <w:p>
            <w:pPr>
              <w:jc w:val="left"/>
            </w:pPr>
            <w:r>
              <w:rPr>
                <w:rFonts w:ascii="Calibri" w:hAnsi="Calibri"/>
                <w:color w:val="334155"/>
                <w:sz w:val="18"/>
              </w:rPr>
              <w:t>F-03</w:t>
            </w:r>
          </w:p>
        </w:tc>
        <w:tc>
          <w:tcPr>
            <w:tcW w:type="dxa" w:w="2592"/>
            <w:shd w:fill="FFFFFF"/>
          </w:tcPr>
          <w:p>
            <w:pPr>
              <w:jc w:val="left"/>
            </w:pPr>
            <w:r>
              <w:rPr>
                <w:rFonts w:ascii="Calibri" w:hAnsi="Calibri"/>
                <w:color w:val="334155"/>
                <w:sz w:val="18"/>
              </w:rPr>
              <w:t>Candidate Privacy Shield</w:t>
            </w:r>
          </w:p>
        </w:tc>
        <w:tc>
          <w:tcPr>
            <w:tcW w:type="dxa" w:w="1440"/>
            <w:shd w:fill="FFFFFF"/>
          </w:tcPr>
          <w:p>
            <w:pPr>
              <w:jc w:val="left"/>
            </w:pPr>
            <w:r>
              <w:rPr>
                <w:rFonts w:ascii="Calibri" w:hAnsi="Calibri"/>
                <w:color w:val="334155"/>
                <w:sz w:val="18"/>
              </w:rPr>
              <w:t>Identity</w:t>
            </w:r>
          </w:p>
        </w:tc>
        <w:tc>
          <w:tcPr>
            <w:tcW w:type="dxa" w:w="2160"/>
            <w:shd w:fill="FFFFFF"/>
          </w:tcPr>
          <w:p>
            <w:pPr>
              <w:jc w:val="left"/>
            </w:pPr>
            <w:r>
              <w:rPr>
                <w:rFonts w:ascii="Calibri" w:hAnsi="Calibri"/>
                <w:color w:val="334155"/>
                <w:sz w:val="18"/>
              </w:rPr>
              <w:t>WF-01, WF-04</w:t>
            </w:r>
          </w:p>
        </w:tc>
        <w:tc>
          <w:tcPr>
            <w:tcW w:type="dxa" w:w="2016"/>
            <w:shd w:fill="FFFFFF"/>
          </w:tcPr>
          <w:p>
            <w:pPr>
              <w:jc w:val="left"/>
            </w:pPr>
            <w:r>
              <w:rPr>
                <w:rFonts w:ascii="Calibri" w:hAnsi="Calibri"/>
                <w:color w:val="334155"/>
                <w:sz w:val="18"/>
              </w:rPr>
              <w:t>Validated via candidate_block_list anti-join view</w:t>
            </w:r>
          </w:p>
        </w:tc>
      </w:tr>
      <w:tr>
        <w:tc>
          <w:tcPr>
            <w:tcW w:type="dxa" w:w="1152"/>
            <w:shd w:fill="F8FAFC"/>
          </w:tcPr>
          <w:p>
            <w:pPr>
              <w:jc w:val="left"/>
            </w:pPr>
            <w:r>
              <w:rPr>
                <w:rFonts w:ascii="Calibri" w:hAnsi="Calibri"/>
                <w:color w:val="334155"/>
                <w:sz w:val="18"/>
              </w:rPr>
              <w:t>F-04</w:t>
            </w:r>
          </w:p>
        </w:tc>
        <w:tc>
          <w:tcPr>
            <w:tcW w:type="dxa" w:w="2592"/>
            <w:shd w:fill="F8FAFC"/>
          </w:tcPr>
          <w:p>
            <w:pPr>
              <w:jc w:val="left"/>
            </w:pPr>
            <w:r>
              <w:rPr>
                <w:rFonts w:ascii="Calibri" w:hAnsi="Calibri"/>
                <w:color w:val="334155"/>
                <w:sz w:val="18"/>
              </w:rPr>
              <w:t>Multi-Tenant RLS Job Isolation</w:t>
            </w:r>
          </w:p>
        </w:tc>
        <w:tc>
          <w:tcPr>
            <w:tcW w:type="dxa" w:w="1440"/>
            <w:shd w:fill="F8FAFC"/>
          </w:tcPr>
          <w:p>
            <w:pPr>
              <w:jc w:val="left"/>
            </w:pPr>
            <w:r>
              <w:rPr>
                <w:rFonts w:ascii="Calibri" w:hAnsi="Calibri"/>
                <w:color w:val="334155"/>
                <w:sz w:val="18"/>
              </w:rPr>
              <w:t>Tenancy</w:t>
            </w:r>
          </w:p>
        </w:tc>
        <w:tc>
          <w:tcPr>
            <w:tcW w:type="dxa" w:w="2160"/>
            <w:shd w:fill="F8FAFC"/>
          </w:tcPr>
          <w:p>
            <w:pPr>
              <w:jc w:val="left"/>
            </w:pPr>
            <w:r>
              <w:rPr>
                <w:rFonts w:ascii="Calibri" w:hAnsi="Calibri"/>
                <w:color w:val="334155"/>
                <w:sz w:val="18"/>
              </w:rPr>
              <w:t>WF-02, WF-03</w:t>
            </w:r>
          </w:p>
        </w:tc>
        <w:tc>
          <w:tcPr>
            <w:tcW w:type="dxa" w:w="2016"/>
            <w:shd w:fill="F8FAFC"/>
          </w:tcPr>
          <w:p>
            <w:pPr>
              <w:jc w:val="left"/>
            </w:pPr>
            <w:r>
              <w:rPr>
                <w:rFonts w:ascii="Calibri" w:hAnsi="Calibri"/>
                <w:color w:val="334155"/>
                <w:sz w:val="18"/>
              </w:rPr>
              <w:t>Validated via app.current_org_id RLS policy</w:t>
            </w:r>
          </w:p>
        </w:tc>
      </w:tr>
      <w:tr>
        <w:tc>
          <w:tcPr>
            <w:tcW w:type="dxa" w:w="1152"/>
            <w:shd w:fill="FFFFFF"/>
          </w:tcPr>
          <w:p>
            <w:pPr>
              <w:jc w:val="left"/>
            </w:pPr>
            <w:r>
              <w:rPr>
                <w:rFonts w:ascii="Calibri" w:hAnsi="Calibri"/>
                <w:color w:val="334155"/>
                <w:sz w:val="18"/>
              </w:rPr>
              <w:t>F-05</w:t>
            </w:r>
          </w:p>
        </w:tc>
        <w:tc>
          <w:tcPr>
            <w:tcW w:type="dxa" w:w="2592"/>
            <w:shd w:fill="FFFFFF"/>
          </w:tcPr>
          <w:p>
            <w:pPr>
              <w:jc w:val="left"/>
            </w:pPr>
            <w:r>
              <w:rPr>
                <w:rFonts w:ascii="Calibri" w:hAnsi="Calibri"/>
                <w:color w:val="334155"/>
                <w:sz w:val="18"/>
              </w:rPr>
              <w:t>Multi-Branch Location Hierarchy</w:t>
            </w:r>
          </w:p>
        </w:tc>
        <w:tc>
          <w:tcPr>
            <w:tcW w:type="dxa" w:w="1440"/>
            <w:shd w:fill="FFFFFF"/>
          </w:tcPr>
          <w:p>
            <w:pPr>
              <w:jc w:val="left"/>
            </w:pPr>
            <w:r>
              <w:rPr>
                <w:rFonts w:ascii="Calibri" w:hAnsi="Calibri"/>
                <w:color w:val="334155"/>
                <w:sz w:val="18"/>
              </w:rPr>
              <w:t>Tenancy</w:t>
            </w:r>
          </w:p>
        </w:tc>
        <w:tc>
          <w:tcPr>
            <w:tcW w:type="dxa" w:w="2160"/>
            <w:shd w:fill="FFFFFF"/>
          </w:tcPr>
          <w:p>
            <w:pPr>
              <w:jc w:val="left"/>
            </w:pPr>
            <w:r>
              <w:rPr>
                <w:rFonts w:ascii="Calibri" w:hAnsi="Calibri"/>
                <w:color w:val="334155"/>
                <w:sz w:val="18"/>
              </w:rPr>
              <w:t>WF-02</w:t>
            </w:r>
          </w:p>
        </w:tc>
        <w:tc>
          <w:tcPr>
            <w:tcW w:type="dxa" w:w="2016"/>
            <w:shd w:fill="FFFFFF"/>
          </w:tcPr>
          <w:p>
            <w:pPr>
              <w:jc w:val="left"/>
            </w:pPr>
            <w:r>
              <w:rPr>
                <w:rFonts w:ascii="Calibri" w:hAnsi="Calibri"/>
                <w:color w:val="334155"/>
                <w:sz w:val="18"/>
              </w:rPr>
              <w:t>Validated via branch location foreign keys</w:t>
            </w:r>
          </w:p>
        </w:tc>
      </w:tr>
      <w:tr>
        <w:tc>
          <w:tcPr>
            <w:tcW w:type="dxa" w:w="1152"/>
            <w:shd w:fill="F8FAFC"/>
          </w:tcPr>
          <w:p>
            <w:pPr>
              <w:jc w:val="left"/>
            </w:pPr>
            <w:r>
              <w:rPr>
                <w:rFonts w:ascii="Calibri" w:hAnsi="Calibri"/>
                <w:color w:val="334155"/>
                <w:sz w:val="18"/>
              </w:rPr>
              <w:t>F-06</w:t>
            </w:r>
          </w:p>
        </w:tc>
        <w:tc>
          <w:tcPr>
            <w:tcW w:type="dxa" w:w="2592"/>
            <w:shd w:fill="F8FAFC"/>
          </w:tcPr>
          <w:p>
            <w:pPr>
              <w:jc w:val="left"/>
            </w:pPr>
            <w:r>
              <w:rPr>
                <w:rFonts w:ascii="Calibri" w:hAnsi="Calibri"/>
                <w:color w:val="334155"/>
                <w:sz w:val="18"/>
              </w:rPr>
              <w:t>Candidate Skill Vector Profile</w:t>
            </w:r>
          </w:p>
        </w:tc>
        <w:tc>
          <w:tcPr>
            <w:tcW w:type="dxa" w:w="1440"/>
            <w:shd w:fill="F8FAFC"/>
          </w:tcPr>
          <w:p>
            <w:pPr>
              <w:jc w:val="left"/>
            </w:pPr>
            <w:r>
              <w:rPr>
                <w:rFonts w:ascii="Calibri" w:hAnsi="Calibri"/>
                <w:color w:val="334155"/>
                <w:sz w:val="18"/>
              </w:rPr>
              <w:t>Sourcing</w:t>
            </w:r>
          </w:p>
        </w:tc>
        <w:tc>
          <w:tcPr>
            <w:tcW w:type="dxa" w:w="2160"/>
            <w:shd w:fill="F8FAFC"/>
          </w:tcPr>
          <w:p>
            <w:pPr>
              <w:jc w:val="left"/>
            </w:pPr>
            <w:r>
              <w:rPr>
                <w:rFonts w:ascii="Calibri" w:hAnsi="Calibri"/>
                <w:color w:val="334155"/>
                <w:sz w:val="18"/>
              </w:rPr>
              <w:t>WF-01, WF-04</w:t>
            </w:r>
          </w:p>
        </w:tc>
        <w:tc>
          <w:tcPr>
            <w:tcW w:type="dxa" w:w="2016"/>
            <w:shd w:fill="F8FAFC"/>
          </w:tcPr>
          <w:p>
            <w:pPr>
              <w:jc w:val="left"/>
            </w:pPr>
            <w:r>
              <w:rPr>
                <w:rFonts w:ascii="Calibri" w:hAnsi="Calibri"/>
                <w:color w:val="334155"/>
                <w:sz w:val="18"/>
              </w:rPr>
              <w:t>Validated via parsed_resume_vector extraction</w:t>
            </w:r>
          </w:p>
        </w:tc>
      </w:tr>
      <w:tr>
        <w:tc>
          <w:tcPr>
            <w:tcW w:type="dxa" w:w="1152"/>
            <w:shd w:fill="FFFFFF"/>
          </w:tcPr>
          <w:p>
            <w:pPr>
              <w:jc w:val="left"/>
            </w:pPr>
            <w:r>
              <w:rPr>
                <w:rFonts w:ascii="Calibri" w:hAnsi="Calibri"/>
                <w:color w:val="334155"/>
                <w:sz w:val="18"/>
              </w:rPr>
              <w:t>F-07</w:t>
            </w:r>
          </w:p>
        </w:tc>
        <w:tc>
          <w:tcPr>
            <w:tcW w:type="dxa" w:w="2592"/>
            <w:shd w:fill="FFFFFF"/>
          </w:tcPr>
          <w:p>
            <w:pPr>
              <w:jc w:val="left"/>
            </w:pPr>
            <w:r>
              <w:rPr>
                <w:rFonts w:ascii="Calibri" w:hAnsi="Calibri"/>
                <w:color w:val="334155"/>
                <w:sz w:val="18"/>
              </w:rPr>
              <w:t>Structured Application Assessment</w:t>
            </w:r>
          </w:p>
        </w:tc>
        <w:tc>
          <w:tcPr>
            <w:tcW w:type="dxa" w:w="1440"/>
            <w:shd w:fill="FFFFFF"/>
          </w:tcPr>
          <w:p>
            <w:pPr>
              <w:jc w:val="left"/>
            </w:pPr>
            <w:r>
              <w:rPr>
                <w:rFonts w:ascii="Calibri" w:hAnsi="Calibri"/>
                <w:color w:val="334155"/>
                <w:sz w:val="18"/>
              </w:rPr>
              <w:t>Sourcing</w:t>
            </w:r>
          </w:p>
        </w:tc>
        <w:tc>
          <w:tcPr>
            <w:tcW w:type="dxa" w:w="2160"/>
            <w:shd w:fill="FFFFFF"/>
          </w:tcPr>
          <w:p>
            <w:pPr>
              <w:jc w:val="left"/>
            </w:pPr>
            <w:r>
              <w:rPr>
                <w:rFonts w:ascii="Calibri" w:hAnsi="Calibri"/>
                <w:color w:val="334155"/>
                <w:sz w:val="18"/>
              </w:rPr>
              <w:t>WF-03</w:t>
            </w:r>
          </w:p>
        </w:tc>
        <w:tc>
          <w:tcPr>
            <w:tcW w:type="dxa" w:w="2016"/>
            <w:shd w:fill="FFFFFF"/>
          </w:tcPr>
          <w:p>
            <w:pPr>
              <w:jc w:val="left"/>
            </w:pPr>
            <w:r>
              <w:rPr>
                <w:rFonts w:ascii="Calibri" w:hAnsi="Calibri"/>
                <w:color w:val="334155"/>
                <w:sz w:val="18"/>
              </w:rPr>
              <w:t>Validated via questionnaire and scoring triggers</w:t>
            </w:r>
          </w:p>
        </w:tc>
      </w:tr>
      <w:tr>
        <w:tc>
          <w:tcPr>
            <w:tcW w:type="dxa" w:w="1152"/>
            <w:shd w:fill="F8FAFC"/>
          </w:tcPr>
          <w:p>
            <w:pPr>
              <w:jc w:val="left"/>
            </w:pPr>
            <w:r>
              <w:rPr>
                <w:rFonts w:ascii="Calibri" w:hAnsi="Calibri"/>
                <w:color w:val="334155"/>
                <w:sz w:val="18"/>
              </w:rPr>
              <w:t>F-08</w:t>
            </w:r>
          </w:p>
        </w:tc>
        <w:tc>
          <w:tcPr>
            <w:tcW w:type="dxa" w:w="2592"/>
            <w:shd w:fill="F8FAFC"/>
          </w:tcPr>
          <w:p>
            <w:pPr>
              <w:jc w:val="left"/>
            </w:pPr>
            <w:r>
              <w:rPr>
                <w:rFonts w:ascii="Calibri" w:hAnsi="Calibri"/>
                <w:color w:val="334155"/>
                <w:sz w:val="18"/>
              </w:rPr>
              <w:t>Consultant Sourcing Marketplace</w:t>
            </w:r>
          </w:p>
        </w:tc>
        <w:tc>
          <w:tcPr>
            <w:tcW w:type="dxa" w:w="1440"/>
            <w:shd w:fill="F8FAFC"/>
          </w:tcPr>
          <w:p>
            <w:pPr>
              <w:jc w:val="left"/>
            </w:pPr>
            <w:r>
              <w:rPr>
                <w:rFonts w:ascii="Calibri" w:hAnsi="Calibri"/>
                <w:color w:val="334155"/>
                <w:sz w:val="18"/>
              </w:rPr>
              <w:t>Sourcing</w:t>
            </w:r>
          </w:p>
        </w:tc>
        <w:tc>
          <w:tcPr>
            <w:tcW w:type="dxa" w:w="2160"/>
            <w:shd w:fill="F8FAFC"/>
          </w:tcPr>
          <w:p>
            <w:pPr>
              <w:jc w:val="left"/>
            </w:pPr>
            <w:r>
              <w:rPr>
                <w:rFonts w:ascii="Calibri" w:hAnsi="Calibri"/>
                <w:color w:val="334155"/>
                <w:sz w:val="18"/>
              </w:rPr>
              <w:t>WF-04</w:t>
            </w:r>
          </w:p>
        </w:tc>
        <w:tc>
          <w:tcPr>
            <w:tcW w:type="dxa" w:w="2016"/>
            <w:shd w:fill="F8FAFC"/>
          </w:tcPr>
          <w:p>
            <w:pPr>
              <w:jc w:val="left"/>
            </w:pPr>
            <w:r>
              <w:rPr>
                <w:rFonts w:ascii="Calibri" w:hAnsi="Calibri"/>
                <w:color w:val="334155"/>
                <w:sz w:val="18"/>
              </w:rPr>
              <w:t>Validated via split commission ledger tracking</w:t>
            </w:r>
          </w:p>
        </w:tc>
      </w:tr>
      <w:tr>
        <w:tc>
          <w:tcPr>
            <w:tcW w:type="dxa" w:w="1152"/>
            <w:shd w:fill="FFFFFF"/>
          </w:tcPr>
          <w:p>
            <w:pPr>
              <w:jc w:val="left"/>
            </w:pPr>
            <w:r>
              <w:rPr>
                <w:rFonts w:ascii="Calibri" w:hAnsi="Calibri"/>
                <w:color w:val="334155"/>
                <w:sz w:val="18"/>
              </w:rPr>
              <w:t>F-09</w:t>
            </w:r>
          </w:p>
        </w:tc>
        <w:tc>
          <w:tcPr>
            <w:tcW w:type="dxa" w:w="2592"/>
            <w:shd w:fill="FFFFFF"/>
          </w:tcPr>
          <w:p>
            <w:pPr>
              <w:jc w:val="left"/>
            </w:pPr>
            <w:r>
              <w:rPr>
                <w:rFonts w:ascii="Calibri" w:hAnsi="Calibri"/>
                <w:color w:val="334155"/>
                <w:sz w:val="18"/>
              </w:rPr>
              <w:t>Resume Unlock Quota &amp; Metering</w:t>
            </w:r>
          </w:p>
        </w:tc>
        <w:tc>
          <w:tcPr>
            <w:tcW w:type="dxa" w:w="1440"/>
            <w:shd w:fill="FFFFFF"/>
          </w:tcPr>
          <w:p>
            <w:pPr>
              <w:jc w:val="left"/>
            </w:pPr>
            <w:r>
              <w:rPr>
                <w:rFonts w:ascii="Calibri" w:hAnsi="Calibri"/>
                <w:color w:val="334155"/>
                <w:sz w:val="18"/>
              </w:rPr>
              <w:t>Monetization</w:t>
            </w:r>
          </w:p>
        </w:tc>
        <w:tc>
          <w:tcPr>
            <w:tcW w:type="dxa" w:w="2160"/>
            <w:shd w:fill="FFFFFF"/>
          </w:tcPr>
          <w:p>
            <w:pPr>
              <w:jc w:val="left"/>
            </w:pPr>
            <w:r>
              <w:rPr>
                <w:rFonts w:ascii="Calibri" w:hAnsi="Calibri"/>
                <w:color w:val="334155"/>
                <w:sz w:val="18"/>
              </w:rPr>
              <w:t>WF-04</w:t>
            </w:r>
          </w:p>
        </w:tc>
        <w:tc>
          <w:tcPr>
            <w:tcW w:type="dxa" w:w="2016"/>
            <w:shd w:fill="FFFFFF"/>
          </w:tcPr>
          <w:p>
            <w:pPr>
              <w:jc w:val="left"/>
            </w:pPr>
            <w:r>
              <w:rPr>
                <w:rFonts w:ascii="Calibri" w:hAnsi="Calibri"/>
                <w:color w:val="334155"/>
                <w:sz w:val="18"/>
              </w:rPr>
              <w:t>Validated via download history credit deductions</w:t>
            </w:r>
          </w:p>
        </w:tc>
      </w:tr>
      <w:tr>
        <w:tc>
          <w:tcPr>
            <w:tcW w:type="dxa" w:w="1152"/>
            <w:shd w:fill="F8FAFC"/>
          </w:tcPr>
          <w:p>
            <w:pPr>
              <w:jc w:val="left"/>
            </w:pPr>
            <w:r>
              <w:rPr>
                <w:rFonts w:ascii="Calibri" w:hAnsi="Calibri"/>
                <w:color w:val="334155"/>
                <w:sz w:val="18"/>
              </w:rPr>
              <w:t>F-10</w:t>
            </w:r>
          </w:p>
        </w:tc>
        <w:tc>
          <w:tcPr>
            <w:tcW w:type="dxa" w:w="2592"/>
            <w:shd w:fill="F8FAFC"/>
          </w:tcPr>
          <w:p>
            <w:pPr>
              <w:jc w:val="left"/>
            </w:pPr>
            <w:r>
              <w:rPr>
                <w:rFonts w:ascii="Calibri" w:hAnsi="Calibri"/>
                <w:color w:val="334155"/>
                <w:sz w:val="18"/>
              </w:rPr>
              <w:t>Tiered Enterprise Licensing</w:t>
            </w:r>
          </w:p>
        </w:tc>
        <w:tc>
          <w:tcPr>
            <w:tcW w:type="dxa" w:w="1440"/>
            <w:shd w:fill="F8FAFC"/>
          </w:tcPr>
          <w:p>
            <w:pPr>
              <w:jc w:val="left"/>
            </w:pPr>
            <w:r>
              <w:rPr>
                <w:rFonts w:ascii="Calibri" w:hAnsi="Calibri"/>
                <w:color w:val="334155"/>
                <w:sz w:val="18"/>
              </w:rPr>
              <w:t>Monetization</w:t>
            </w:r>
          </w:p>
        </w:tc>
        <w:tc>
          <w:tcPr>
            <w:tcW w:type="dxa" w:w="2160"/>
            <w:shd w:fill="F8FAFC"/>
          </w:tcPr>
          <w:p>
            <w:pPr>
              <w:jc w:val="left"/>
            </w:pPr>
            <w:r>
              <w:rPr>
                <w:rFonts w:ascii="Calibri" w:hAnsi="Calibri"/>
                <w:color w:val="334155"/>
                <w:sz w:val="18"/>
              </w:rPr>
              <w:t>WF-06</w:t>
            </w:r>
          </w:p>
        </w:tc>
        <w:tc>
          <w:tcPr>
            <w:tcW w:type="dxa" w:w="2016"/>
            <w:shd w:fill="F8FAFC"/>
          </w:tcPr>
          <w:p>
            <w:pPr>
              <w:jc w:val="left"/>
            </w:pPr>
            <w:r>
              <w:rPr>
                <w:rFonts w:ascii="Calibri" w:hAnsi="Calibri"/>
                <w:color w:val="334155"/>
                <w:sz w:val="18"/>
              </w:rPr>
              <w:t>Validated via seat allocation triggers</w:t>
            </w:r>
          </w:p>
        </w:tc>
      </w:tr>
      <w:tr>
        <w:tc>
          <w:tcPr>
            <w:tcW w:type="dxa" w:w="1152"/>
            <w:shd w:fill="FFFFFF"/>
          </w:tcPr>
          <w:p>
            <w:pPr>
              <w:jc w:val="left"/>
            </w:pPr>
            <w:r>
              <w:rPr>
                <w:rFonts w:ascii="Calibri" w:hAnsi="Calibri"/>
                <w:color w:val="334155"/>
                <w:sz w:val="18"/>
              </w:rPr>
              <w:t>F-11</w:t>
            </w:r>
          </w:p>
        </w:tc>
        <w:tc>
          <w:tcPr>
            <w:tcW w:type="dxa" w:w="2592"/>
            <w:shd w:fill="FFFFFF"/>
          </w:tcPr>
          <w:p>
            <w:pPr>
              <w:jc w:val="left"/>
            </w:pPr>
            <w:r>
              <w:rPr>
                <w:rFonts w:ascii="Calibri" w:hAnsi="Calibri"/>
                <w:color w:val="334155"/>
                <w:sz w:val="18"/>
              </w:rPr>
              <w:t>Double-Entry Wallet System</w:t>
            </w:r>
          </w:p>
        </w:tc>
        <w:tc>
          <w:tcPr>
            <w:tcW w:type="dxa" w:w="1440"/>
            <w:shd w:fill="FFFFFF"/>
          </w:tcPr>
          <w:p>
            <w:pPr>
              <w:jc w:val="left"/>
            </w:pPr>
            <w:r>
              <w:rPr>
                <w:rFonts w:ascii="Calibri" w:hAnsi="Calibri"/>
                <w:color w:val="334155"/>
                <w:sz w:val="18"/>
              </w:rPr>
              <w:t>Billing</w:t>
            </w:r>
          </w:p>
        </w:tc>
        <w:tc>
          <w:tcPr>
            <w:tcW w:type="dxa" w:w="2160"/>
            <w:shd w:fill="FFFFFF"/>
          </w:tcPr>
          <w:p>
            <w:pPr>
              <w:jc w:val="left"/>
            </w:pPr>
            <w:r>
              <w:rPr>
                <w:rFonts w:ascii="Calibri" w:hAnsi="Calibri"/>
                <w:color w:val="334155"/>
                <w:sz w:val="18"/>
              </w:rPr>
              <w:t>WF-04, WF-07</w:t>
            </w:r>
          </w:p>
        </w:tc>
        <w:tc>
          <w:tcPr>
            <w:tcW w:type="dxa" w:w="2016"/>
            <w:shd w:fill="FFFFFF"/>
          </w:tcPr>
          <w:p>
            <w:pPr>
              <w:jc w:val="left"/>
            </w:pPr>
            <w:r>
              <w:rPr>
                <w:rFonts w:ascii="Calibri" w:hAnsi="Calibri"/>
                <w:color w:val="334155"/>
                <w:sz w:val="18"/>
              </w:rPr>
              <w:t>Validated via immutable append-only triggers</w:t>
            </w:r>
          </w:p>
        </w:tc>
      </w:tr>
      <w:tr>
        <w:tc>
          <w:tcPr>
            <w:tcW w:type="dxa" w:w="1152"/>
            <w:shd w:fill="F8FAFC"/>
          </w:tcPr>
          <w:p>
            <w:pPr>
              <w:jc w:val="left"/>
            </w:pPr>
            <w:r>
              <w:rPr>
                <w:rFonts w:ascii="Calibri" w:hAnsi="Calibri"/>
                <w:color w:val="334155"/>
                <w:sz w:val="18"/>
              </w:rPr>
              <w:t>F-12</w:t>
            </w:r>
          </w:p>
        </w:tc>
        <w:tc>
          <w:tcPr>
            <w:tcW w:type="dxa" w:w="2592"/>
            <w:shd w:fill="F8FAFC"/>
          </w:tcPr>
          <w:p>
            <w:pPr>
              <w:jc w:val="left"/>
            </w:pPr>
            <w:r>
              <w:rPr>
                <w:rFonts w:ascii="Calibri" w:hAnsi="Calibri"/>
                <w:color w:val="334155"/>
                <w:sz w:val="18"/>
              </w:rPr>
              <w:t>Automated Balance Reconciliation</w:t>
            </w:r>
          </w:p>
        </w:tc>
        <w:tc>
          <w:tcPr>
            <w:tcW w:type="dxa" w:w="1440"/>
            <w:shd w:fill="F8FAFC"/>
          </w:tcPr>
          <w:p>
            <w:pPr>
              <w:jc w:val="left"/>
            </w:pPr>
            <w:r>
              <w:rPr>
                <w:rFonts w:ascii="Calibri" w:hAnsi="Calibri"/>
                <w:color w:val="334155"/>
                <w:sz w:val="18"/>
              </w:rPr>
              <w:t>Billing</w:t>
            </w:r>
          </w:p>
        </w:tc>
        <w:tc>
          <w:tcPr>
            <w:tcW w:type="dxa" w:w="2160"/>
            <w:shd w:fill="F8FAFC"/>
          </w:tcPr>
          <w:p>
            <w:pPr>
              <w:jc w:val="left"/>
            </w:pPr>
            <w:r>
              <w:rPr>
                <w:rFonts w:ascii="Calibri" w:hAnsi="Calibri"/>
                <w:color w:val="334155"/>
                <w:sz w:val="18"/>
              </w:rPr>
              <w:t>WF-07</w:t>
            </w:r>
          </w:p>
        </w:tc>
        <w:tc>
          <w:tcPr>
            <w:tcW w:type="dxa" w:w="2016"/>
            <w:shd w:fill="F8FAFC"/>
          </w:tcPr>
          <w:p>
            <w:pPr>
              <w:jc w:val="left"/>
            </w:pPr>
            <w:r>
              <w:rPr>
                <w:rFonts w:ascii="Calibri" w:hAnsi="Calibri"/>
                <w:color w:val="334155"/>
                <w:sz w:val="18"/>
              </w:rPr>
              <w:t>Validated via trigger recalculating cleared_balance</w:t>
            </w:r>
          </w:p>
        </w:tc>
      </w:tr>
      <w:tr>
        <w:tc>
          <w:tcPr>
            <w:tcW w:type="dxa" w:w="1152"/>
            <w:shd w:fill="FFFFFF"/>
          </w:tcPr>
          <w:p>
            <w:pPr>
              <w:jc w:val="left"/>
            </w:pPr>
            <w:r>
              <w:rPr>
                <w:rFonts w:ascii="Calibri" w:hAnsi="Calibri"/>
                <w:color w:val="334155"/>
                <w:sz w:val="18"/>
              </w:rPr>
              <w:t>F-13</w:t>
            </w:r>
          </w:p>
        </w:tc>
        <w:tc>
          <w:tcPr>
            <w:tcW w:type="dxa" w:w="2592"/>
            <w:shd w:fill="FFFFFF"/>
          </w:tcPr>
          <w:p>
            <w:pPr>
              <w:jc w:val="left"/>
            </w:pPr>
            <w:r>
              <w:rPr>
                <w:rFonts w:ascii="Calibri" w:hAnsi="Calibri"/>
                <w:color w:val="334155"/>
                <w:sz w:val="18"/>
              </w:rPr>
              <w:t>Gig Profile &amp; Trade Showcase</w:t>
            </w:r>
          </w:p>
        </w:tc>
        <w:tc>
          <w:tcPr>
            <w:tcW w:type="dxa" w:w="1440"/>
            <w:shd w:fill="FFFFFF"/>
          </w:tcPr>
          <w:p>
            <w:pPr>
              <w:jc w:val="left"/>
            </w:pPr>
            <w:r>
              <w:rPr>
                <w:rFonts w:ascii="Calibri" w:hAnsi="Calibri"/>
                <w:color w:val="334155"/>
                <w:sz w:val="18"/>
              </w:rPr>
              <w:t>Gig</w:t>
            </w:r>
          </w:p>
        </w:tc>
        <w:tc>
          <w:tcPr>
            <w:tcW w:type="dxa" w:w="2160"/>
            <w:shd w:fill="FFFFFF"/>
          </w:tcPr>
          <w:p>
            <w:pPr>
              <w:jc w:val="left"/>
            </w:pPr>
            <w:r>
              <w:rPr>
                <w:rFonts w:ascii="Calibri" w:hAnsi="Calibri"/>
                <w:color w:val="334155"/>
                <w:sz w:val="18"/>
              </w:rPr>
              <w:t>WF-05</w:t>
            </w:r>
          </w:p>
        </w:tc>
        <w:tc>
          <w:tcPr>
            <w:tcW w:type="dxa" w:w="2016"/>
            <w:shd w:fill="FFFFFF"/>
          </w:tcPr>
          <w:p>
            <w:pPr>
              <w:jc w:val="left"/>
            </w:pPr>
            <w:r>
              <w:rPr>
                <w:rFonts w:ascii="Calibri" w:hAnsi="Calibri"/>
                <w:color w:val="334155"/>
                <w:sz w:val="18"/>
              </w:rPr>
              <w:t>Validated via trade category and verified badges</w:t>
            </w:r>
          </w:p>
        </w:tc>
      </w:tr>
      <w:tr>
        <w:tc>
          <w:tcPr>
            <w:tcW w:type="dxa" w:w="1152"/>
            <w:shd w:fill="F8FAFC"/>
          </w:tcPr>
          <w:p>
            <w:pPr>
              <w:jc w:val="left"/>
            </w:pPr>
            <w:r>
              <w:rPr>
                <w:rFonts w:ascii="Calibri" w:hAnsi="Calibri"/>
                <w:color w:val="334155"/>
                <w:sz w:val="18"/>
              </w:rPr>
              <w:t>F-14</w:t>
            </w:r>
          </w:p>
        </w:tc>
        <w:tc>
          <w:tcPr>
            <w:tcW w:type="dxa" w:w="2592"/>
            <w:shd w:fill="F8FAFC"/>
          </w:tcPr>
          <w:p>
            <w:pPr>
              <w:jc w:val="left"/>
            </w:pPr>
            <w:r>
              <w:rPr>
                <w:rFonts w:ascii="Calibri" w:hAnsi="Calibri"/>
                <w:color w:val="334155"/>
                <w:sz w:val="18"/>
              </w:rPr>
              <w:t>GiST Conflict-Free Scheduling</w:t>
            </w:r>
          </w:p>
        </w:tc>
        <w:tc>
          <w:tcPr>
            <w:tcW w:type="dxa" w:w="1440"/>
            <w:shd w:fill="F8FAFC"/>
          </w:tcPr>
          <w:p>
            <w:pPr>
              <w:jc w:val="left"/>
            </w:pPr>
            <w:r>
              <w:rPr>
                <w:rFonts w:ascii="Calibri" w:hAnsi="Calibri"/>
                <w:color w:val="334155"/>
                <w:sz w:val="18"/>
              </w:rPr>
              <w:t>Gig</w:t>
            </w:r>
          </w:p>
        </w:tc>
        <w:tc>
          <w:tcPr>
            <w:tcW w:type="dxa" w:w="2160"/>
            <w:shd w:fill="F8FAFC"/>
          </w:tcPr>
          <w:p>
            <w:pPr>
              <w:jc w:val="left"/>
            </w:pPr>
            <w:r>
              <w:rPr>
                <w:rFonts w:ascii="Calibri" w:hAnsi="Calibri"/>
                <w:color w:val="334155"/>
                <w:sz w:val="18"/>
              </w:rPr>
              <w:t>WF-05</w:t>
            </w:r>
          </w:p>
        </w:tc>
        <w:tc>
          <w:tcPr>
            <w:tcW w:type="dxa" w:w="2016"/>
            <w:shd w:fill="F8FAFC"/>
          </w:tcPr>
          <w:p>
            <w:pPr>
              <w:jc w:val="left"/>
            </w:pPr>
            <w:r>
              <w:rPr>
                <w:rFonts w:ascii="Calibri" w:hAnsi="Calibri"/>
                <w:color w:val="334155"/>
                <w:sz w:val="18"/>
              </w:rPr>
              <w:t>Validated via PostgreSQL GiST exclusion constraint</w:t>
            </w:r>
          </w:p>
        </w:tc>
      </w:tr>
      <w:tr>
        <w:tc>
          <w:tcPr>
            <w:tcW w:type="dxa" w:w="1152"/>
            <w:shd w:fill="FFFFFF"/>
          </w:tcPr>
          <w:p>
            <w:pPr>
              <w:jc w:val="left"/>
            </w:pPr>
            <w:r>
              <w:rPr>
                <w:rFonts w:ascii="Calibri" w:hAnsi="Calibri"/>
                <w:color w:val="334155"/>
                <w:sz w:val="18"/>
              </w:rPr>
              <w:t>F-15</w:t>
            </w:r>
          </w:p>
        </w:tc>
        <w:tc>
          <w:tcPr>
            <w:tcW w:type="dxa" w:w="2592"/>
            <w:shd w:fill="FFFFFF"/>
          </w:tcPr>
          <w:p>
            <w:pPr>
              <w:jc w:val="left"/>
            </w:pPr>
            <w:r>
              <w:rPr>
                <w:rFonts w:ascii="Calibri" w:hAnsi="Calibri"/>
                <w:color w:val="334155"/>
                <w:sz w:val="18"/>
              </w:rPr>
              <w:t>Milestone Escrow Governance</w:t>
            </w:r>
          </w:p>
        </w:tc>
        <w:tc>
          <w:tcPr>
            <w:tcW w:type="dxa" w:w="1440"/>
            <w:shd w:fill="FFFFFF"/>
          </w:tcPr>
          <w:p>
            <w:pPr>
              <w:jc w:val="left"/>
            </w:pPr>
            <w:r>
              <w:rPr>
                <w:rFonts w:ascii="Calibri" w:hAnsi="Calibri"/>
                <w:color w:val="334155"/>
                <w:sz w:val="18"/>
              </w:rPr>
              <w:t>Gig</w:t>
            </w:r>
          </w:p>
        </w:tc>
        <w:tc>
          <w:tcPr>
            <w:tcW w:type="dxa" w:w="2160"/>
            <w:shd w:fill="FFFFFF"/>
          </w:tcPr>
          <w:p>
            <w:pPr>
              <w:jc w:val="left"/>
            </w:pPr>
            <w:r>
              <w:rPr>
                <w:rFonts w:ascii="Calibri" w:hAnsi="Calibri"/>
                <w:color w:val="334155"/>
                <w:sz w:val="18"/>
              </w:rPr>
              <w:t>WF-05, WF-07</w:t>
            </w:r>
          </w:p>
        </w:tc>
        <w:tc>
          <w:tcPr>
            <w:tcW w:type="dxa" w:w="2016"/>
            <w:shd w:fill="FFFFFF"/>
          </w:tcPr>
          <w:p>
            <w:pPr>
              <w:jc w:val="left"/>
            </w:pPr>
            <w:r>
              <w:rPr>
                <w:rFonts w:ascii="Calibri" w:hAnsi="Calibri"/>
                <w:color w:val="334155"/>
                <w:sz w:val="18"/>
              </w:rPr>
              <w:t>Validated via escrow state transitions</w:t>
            </w:r>
          </w:p>
        </w:tc>
      </w:tr>
      <w:tr>
        <w:tc>
          <w:tcPr>
            <w:tcW w:type="dxa" w:w="1152"/>
            <w:shd w:fill="F8FAFC"/>
          </w:tcPr>
          <w:p>
            <w:pPr>
              <w:jc w:val="left"/>
            </w:pPr>
            <w:r>
              <w:rPr>
                <w:rFonts w:ascii="Calibri" w:hAnsi="Calibri"/>
                <w:color w:val="334155"/>
                <w:sz w:val="18"/>
              </w:rPr>
              <w:t>F-16</w:t>
            </w:r>
          </w:p>
        </w:tc>
        <w:tc>
          <w:tcPr>
            <w:tcW w:type="dxa" w:w="2592"/>
            <w:shd w:fill="F8FAFC"/>
          </w:tcPr>
          <w:p>
            <w:pPr>
              <w:jc w:val="left"/>
            </w:pPr>
            <w:r>
              <w:rPr>
                <w:rFonts w:ascii="Calibri" w:hAnsi="Calibri"/>
                <w:color w:val="334155"/>
                <w:sz w:val="18"/>
              </w:rPr>
              <w:t>Append-Only Compliance Audit</w:t>
            </w:r>
          </w:p>
        </w:tc>
        <w:tc>
          <w:tcPr>
            <w:tcW w:type="dxa" w:w="1440"/>
            <w:shd w:fill="F8FAFC"/>
          </w:tcPr>
          <w:p>
            <w:pPr>
              <w:jc w:val="left"/>
            </w:pPr>
            <w:r>
              <w:rPr>
                <w:rFonts w:ascii="Calibri" w:hAnsi="Calibri"/>
                <w:color w:val="334155"/>
                <w:sz w:val="18"/>
              </w:rPr>
              <w:t>Governance</w:t>
            </w:r>
          </w:p>
        </w:tc>
        <w:tc>
          <w:tcPr>
            <w:tcW w:type="dxa" w:w="2160"/>
            <w:shd w:fill="F8FAFC"/>
          </w:tcPr>
          <w:p>
            <w:pPr>
              <w:jc w:val="left"/>
            </w:pPr>
            <w:r>
              <w:rPr>
                <w:rFonts w:ascii="Calibri" w:hAnsi="Calibri"/>
                <w:color w:val="334155"/>
                <w:sz w:val="18"/>
              </w:rPr>
              <w:t>WF-01 to WF-07</w:t>
            </w:r>
          </w:p>
        </w:tc>
        <w:tc>
          <w:tcPr>
            <w:tcW w:type="dxa" w:w="2016"/>
            <w:shd w:fill="F8FAFC"/>
          </w:tcPr>
          <w:p>
            <w:pPr>
              <w:jc w:val="left"/>
            </w:pPr>
            <w:r>
              <w:rPr>
                <w:rFonts w:ascii="Calibri" w:hAnsi="Calibri"/>
                <w:color w:val="334155"/>
                <w:sz w:val="18"/>
              </w:rPr>
              <w:t>Validated via system_audit_event trigger capture</w:t>
            </w:r>
          </w:p>
        </w:tc>
      </w:tr>
      <w:tr>
        <w:tc>
          <w:tcPr>
            <w:tcW w:type="dxa" w:w="1152"/>
            <w:shd w:fill="FFFFFF"/>
          </w:tcPr>
          <w:p>
            <w:pPr>
              <w:jc w:val="left"/>
            </w:pPr>
            <w:r>
              <w:rPr>
                <w:rFonts w:ascii="Calibri" w:hAnsi="Calibri"/>
                <w:color w:val="334155"/>
                <w:sz w:val="18"/>
              </w:rPr>
              <w:t>F-17</w:t>
            </w:r>
          </w:p>
        </w:tc>
        <w:tc>
          <w:tcPr>
            <w:tcW w:type="dxa" w:w="2592"/>
            <w:shd w:fill="FFFFFF"/>
          </w:tcPr>
          <w:p>
            <w:pPr>
              <w:jc w:val="left"/>
            </w:pPr>
            <w:r>
              <w:rPr>
                <w:rFonts w:ascii="Calibri" w:hAnsi="Calibri"/>
                <w:color w:val="334155"/>
                <w:sz w:val="18"/>
              </w:rPr>
              <w:t>DPDP Consent Management</w:t>
            </w:r>
          </w:p>
        </w:tc>
        <w:tc>
          <w:tcPr>
            <w:tcW w:type="dxa" w:w="1440"/>
            <w:shd w:fill="FFFFFF"/>
          </w:tcPr>
          <w:p>
            <w:pPr>
              <w:jc w:val="left"/>
            </w:pPr>
            <w:r>
              <w:rPr>
                <w:rFonts w:ascii="Calibri" w:hAnsi="Calibri"/>
                <w:color w:val="334155"/>
                <w:sz w:val="18"/>
              </w:rPr>
              <w:t>Governance</w:t>
            </w:r>
          </w:p>
        </w:tc>
        <w:tc>
          <w:tcPr>
            <w:tcW w:type="dxa" w:w="2160"/>
            <w:shd w:fill="FFFFFF"/>
          </w:tcPr>
          <w:p>
            <w:pPr>
              <w:jc w:val="left"/>
            </w:pPr>
            <w:r>
              <w:rPr>
                <w:rFonts w:ascii="Calibri" w:hAnsi="Calibri"/>
                <w:color w:val="334155"/>
                <w:sz w:val="18"/>
              </w:rPr>
              <w:t>WF-01</w:t>
            </w:r>
          </w:p>
        </w:tc>
        <w:tc>
          <w:tcPr>
            <w:tcW w:type="dxa" w:w="2016"/>
            <w:shd w:fill="FFFFFF"/>
          </w:tcPr>
          <w:p>
            <w:pPr>
              <w:jc w:val="left"/>
            </w:pPr>
            <w:r>
              <w:rPr>
                <w:rFonts w:ascii="Calibri" w:hAnsi="Calibri"/>
                <w:color w:val="334155"/>
                <w:sz w:val="18"/>
              </w:rPr>
              <w:t>Validated via consent_record timestamps and erasure</w:t>
            </w:r>
          </w:p>
        </w:tc>
      </w:tr>
      <w:tr>
        <w:tc>
          <w:tcPr>
            <w:tcW w:type="dxa" w:w="1152"/>
            <w:shd w:fill="F8FAFC"/>
          </w:tcPr>
          <w:p>
            <w:pPr>
              <w:jc w:val="left"/>
            </w:pPr>
            <w:r>
              <w:rPr>
                <w:rFonts w:ascii="Calibri" w:hAnsi="Calibri"/>
                <w:color w:val="334155"/>
                <w:sz w:val="18"/>
              </w:rPr>
              <w:t>F-18</w:t>
            </w:r>
          </w:p>
        </w:tc>
        <w:tc>
          <w:tcPr>
            <w:tcW w:type="dxa" w:w="2592"/>
            <w:shd w:fill="F8FAFC"/>
          </w:tcPr>
          <w:p>
            <w:pPr>
              <w:jc w:val="left"/>
            </w:pPr>
            <w:r>
              <w:rPr>
                <w:rFonts w:ascii="Calibri" w:hAnsi="Calibri"/>
                <w:color w:val="334155"/>
                <w:sz w:val="18"/>
              </w:rPr>
              <w:t>Candidate Referral Program</w:t>
            </w:r>
          </w:p>
        </w:tc>
        <w:tc>
          <w:tcPr>
            <w:tcW w:type="dxa" w:w="1440"/>
            <w:shd w:fill="F8FAFC"/>
          </w:tcPr>
          <w:p>
            <w:pPr>
              <w:jc w:val="left"/>
            </w:pPr>
            <w:r>
              <w:rPr>
                <w:rFonts w:ascii="Calibri" w:hAnsi="Calibri"/>
                <w:color w:val="334155"/>
                <w:sz w:val="18"/>
              </w:rPr>
              <w:t>Engagement</w:t>
            </w:r>
          </w:p>
        </w:tc>
        <w:tc>
          <w:tcPr>
            <w:tcW w:type="dxa" w:w="2160"/>
            <w:shd w:fill="F8FAFC"/>
          </w:tcPr>
          <w:p>
            <w:pPr>
              <w:jc w:val="left"/>
            </w:pPr>
            <w:r>
              <w:rPr>
                <w:rFonts w:ascii="Calibri" w:hAnsi="Calibri"/>
                <w:color w:val="334155"/>
                <w:sz w:val="18"/>
              </w:rPr>
              <w:t>WF-01, WF-03</w:t>
            </w:r>
          </w:p>
        </w:tc>
        <w:tc>
          <w:tcPr>
            <w:tcW w:type="dxa" w:w="2016"/>
            <w:shd w:fill="F8FAFC"/>
          </w:tcPr>
          <w:p>
            <w:pPr>
              <w:jc w:val="left"/>
            </w:pPr>
            <w:r>
              <w:rPr>
                <w:rFonts w:ascii="Calibri" w:hAnsi="Calibri"/>
                <w:color w:val="334155"/>
                <w:sz w:val="18"/>
              </w:rPr>
              <w:t>Validated via referral tracking codes and bonuses</w:t>
            </w:r>
          </w:p>
        </w:tc>
      </w:tr>
      <w:tr>
        <w:tc>
          <w:tcPr>
            <w:tcW w:type="dxa" w:w="1152"/>
            <w:shd w:fill="FFFFFF"/>
          </w:tcPr>
          <w:p>
            <w:pPr>
              <w:jc w:val="left"/>
            </w:pPr>
            <w:r>
              <w:rPr>
                <w:rFonts w:ascii="Calibri" w:hAnsi="Calibri"/>
                <w:color w:val="334155"/>
                <w:sz w:val="18"/>
              </w:rPr>
              <w:t>F-19</w:t>
            </w:r>
          </w:p>
        </w:tc>
        <w:tc>
          <w:tcPr>
            <w:tcW w:type="dxa" w:w="2592"/>
            <w:shd w:fill="FFFFFF"/>
          </w:tcPr>
          <w:p>
            <w:pPr>
              <w:jc w:val="left"/>
            </w:pPr>
            <w:r>
              <w:rPr>
                <w:rFonts w:ascii="Calibri" w:hAnsi="Calibri"/>
                <w:color w:val="334155"/>
                <w:sz w:val="18"/>
              </w:rPr>
              <w:t>Campus Cohort Management</w:t>
            </w:r>
          </w:p>
        </w:tc>
        <w:tc>
          <w:tcPr>
            <w:tcW w:type="dxa" w:w="1440"/>
            <w:shd w:fill="FFFFFF"/>
          </w:tcPr>
          <w:p>
            <w:pPr>
              <w:jc w:val="left"/>
            </w:pPr>
            <w:r>
              <w:rPr>
                <w:rFonts w:ascii="Calibri" w:hAnsi="Calibri"/>
                <w:color w:val="334155"/>
                <w:sz w:val="18"/>
              </w:rPr>
              <w:t>Engagement</w:t>
            </w:r>
          </w:p>
        </w:tc>
        <w:tc>
          <w:tcPr>
            <w:tcW w:type="dxa" w:w="2160"/>
            <w:shd w:fill="FFFFFF"/>
          </w:tcPr>
          <w:p>
            <w:pPr>
              <w:jc w:val="left"/>
            </w:pPr>
            <w:r>
              <w:rPr>
                <w:rFonts w:ascii="Calibri" w:hAnsi="Calibri"/>
                <w:color w:val="334155"/>
                <w:sz w:val="18"/>
              </w:rPr>
              <w:t>WF-02, WF-03</w:t>
            </w:r>
          </w:p>
        </w:tc>
        <w:tc>
          <w:tcPr>
            <w:tcW w:type="dxa" w:w="2016"/>
            <w:shd w:fill="FFFFFF"/>
          </w:tcPr>
          <w:p>
            <w:pPr>
              <w:jc w:val="left"/>
            </w:pPr>
            <w:r>
              <w:rPr>
                <w:rFonts w:ascii="Calibri" w:hAnsi="Calibri"/>
                <w:color w:val="334155"/>
                <w:sz w:val="18"/>
              </w:rPr>
              <w:t>Validated via university and graduation year filters</w:t>
            </w:r>
          </w:p>
        </w:tc>
      </w:tr>
      <w:tr>
        <w:tc>
          <w:tcPr>
            <w:tcW w:type="dxa" w:w="1152"/>
            <w:shd w:fill="F8FAFC"/>
          </w:tcPr>
          <w:p>
            <w:pPr>
              <w:jc w:val="left"/>
            </w:pPr>
            <w:r>
              <w:rPr>
                <w:rFonts w:ascii="Calibri" w:hAnsi="Calibri"/>
                <w:color w:val="334155"/>
                <w:sz w:val="18"/>
              </w:rPr>
              <w:t>F-20</w:t>
            </w:r>
          </w:p>
        </w:tc>
        <w:tc>
          <w:tcPr>
            <w:tcW w:type="dxa" w:w="2592"/>
            <w:shd w:fill="F8FAFC"/>
          </w:tcPr>
          <w:p>
            <w:pPr>
              <w:jc w:val="left"/>
            </w:pPr>
            <w:r>
              <w:rPr>
                <w:rFonts w:ascii="Calibri" w:hAnsi="Calibri"/>
                <w:color w:val="334155"/>
                <w:sz w:val="18"/>
              </w:rPr>
              <w:t>Recruitment Analytics Marts</w:t>
            </w:r>
          </w:p>
        </w:tc>
        <w:tc>
          <w:tcPr>
            <w:tcW w:type="dxa" w:w="1440"/>
            <w:shd w:fill="F8FAFC"/>
          </w:tcPr>
          <w:p>
            <w:pPr>
              <w:jc w:val="left"/>
            </w:pPr>
            <w:r>
              <w:rPr>
                <w:rFonts w:ascii="Calibri" w:hAnsi="Calibri"/>
                <w:color w:val="334155"/>
                <w:sz w:val="18"/>
              </w:rPr>
              <w:t>Analytics</w:t>
            </w:r>
          </w:p>
        </w:tc>
        <w:tc>
          <w:tcPr>
            <w:tcW w:type="dxa" w:w="2160"/>
            <w:shd w:fill="F8FAFC"/>
          </w:tcPr>
          <w:p>
            <w:pPr>
              <w:jc w:val="left"/>
            </w:pPr>
            <w:r>
              <w:rPr>
                <w:rFonts w:ascii="Calibri" w:hAnsi="Calibri"/>
                <w:color w:val="334155"/>
                <w:sz w:val="18"/>
              </w:rPr>
              <w:t>WF-02, WF-03, WF-04</w:t>
            </w:r>
          </w:p>
        </w:tc>
        <w:tc>
          <w:tcPr>
            <w:tcW w:type="dxa" w:w="2016"/>
            <w:shd w:fill="F8FAFC"/>
          </w:tcPr>
          <w:p>
            <w:pPr>
              <w:jc w:val="left"/>
            </w:pPr>
            <w:r>
              <w:rPr>
                <w:rFonts w:ascii="Calibri" w:hAnsi="Calibri"/>
                <w:color w:val="334155"/>
                <w:sz w:val="18"/>
              </w:rPr>
              <w:t>Validated via pipeline drop-off aggregate marts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