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4"/>
        </w:rPr>
        <w:t>C. Feature Discovery &amp; Competitor Analysis</w:t>
      </w:r>
    </w:p>
    <w:p>
      <w:r>
        <w:rPr>
          <w:rFonts w:ascii="Calibri" w:hAnsi="Calibri"/>
          <w:b/>
          <w:color w:val="2563EB"/>
          <w:sz w:val="24"/>
        </w:rPr>
        <w:t>Step 03 · Discover | Product Capabilities, Competitor Gaps, and MoSCoW Prioritization</w:t>
      </w:r>
    </w:p>
    <w:p>
      <w:r>
        <w:rPr>
          <w:rFonts w:ascii="Calibri" w:hAnsi="Calibri"/>
          <w:i/>
          <w:color w:val="64748B"/>
          <w:sz w:val="20"/>
        </w:rPr>
        <w:t>Talentra Enterprise Workforce Platform | Deliverable C3</w:t>
      </w:r>
    </w:p>
    <w:p/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1. Strategic Capability Context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This docket inventories the complete 20-feature capability catalog for Talentra, categorized by MoSCoW priority, and benchmarks our technical architecture against legacy leaders (LinkedIn, Naukri, Monster).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2. Competitor Benchmarking: What Competitors Lack &amp; Why It Matters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1E3A8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Capability Dimension</w:t>
            </w:r>
          </w:p>
        </w:tc>
        <w:tc>
          <w:tcPr>
            <w:tcW w:type="dxa" w:w="2304"/>
            <w:shd w:fill="1E3A8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Competitor Implementation</w:t>
            </w:r>
          </w:p>
        </w:tc>
        <w:tc>
          <w:tcPr>
            <w:tcW w:type="dxa" w:w="2592"/>
            <w:shd w:fill="1E3A8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Talentra Architecture</w:t>
            </w:r>
          </w:p>
        </w:tc>
        <w:tc>
          <w:tcPr>
            <w:tcW w:type="dxa" w:w="3168"/>
            <w:shd w:fill="1E3A8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What Competitors Lack &amp; Why It Matters</w:t>
            </w:r>
          </w:p>
        </w:tc>
      </w:tr>
      <w:tr>
        <w:tc>
          <w:tcPr>
            <w:tcW w:type="dxa" w:w="201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Dual-Track Workforce</w:t>
            </w:r>
          </w:p>
        </w:tc>
        <w:tc>
          <w:tcPr>
            <w:tcW w:type="dxa" w:w="230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Siloed platforms for corporate vs freelance.</w:t>
            </w:r>
          </w:p>
        </w:tc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Unified multi-tenant organizational account.</w:t>
            </w:r>
          </w:p>
        </w:tc>
        <w:tc>
          <w:tcPr>
            <w:tcW w:type="dxa" w:w="3168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Competitors force duplicate billing &amp; profiles. Talentra enables agile labor reallocation.</w:t>
            </w:r>
          </w:p>
        </w:tc>
      </w:tr>
      <w:tr>
        <w:tc>
          <w:tcPr>
            <w:tcW w:type="dxa" w:w="201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Concurrency Conflict</w:t>
            </w:r>
          </w:p>
        </w:tc>
        <w:tc>
          <w:tcPr>
            <w:tcW w:type="dxa" w:w="230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Absent; prone to double-booking race conditions.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PostgreSQL GiST non-overlapping exclusion.</w:t>
            </w:r>
          </w:p>
        </w:tc>
        <w:tc>
          <w:tcPr>
            <w:tcW w:type="dxa" w:w="3168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Competitor race conditions cause scheduling disputes. Talentra guarantees temporal exclusivity in SQL.</w:t>
            </w:r>
          </w:p>
        </w:tc>
      </w:tr>
      <w:tr>
        <w:tc>
          <w:tcPr>
            <w:tcW w:type="dxa" w:w="201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Privacy Shield</w:t>
            </w:r>
          </w:p>
        </w:tc>
        <w:tc>
          <w:tcPr>
            <w:tcW w:type="dxa" w:w="230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Basic 'Open to Work' recruiter seat toggles.</w:t>
            </w:r>
          </w:p>
        </w:tc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Automated anti-join candidate block list.</w:t>
            </w:r>
          </w:p>
        </w:tc>
        <w:tc>
          <w:tcPr>
            <w:tcW w:type="dxa" w:w="3168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Competitors risk candidate exposure to parent companies/subsidiaries. Talentra guarantees confidentiality.</w:t>
            </w:r>
          </w:p>
        </w:tc>
      </w:tr>
      <w:tr>
        <w:tc>
          <w:tcPr>
            <w:tcW w:type="dxa" w:w="201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In-Database Ledger</w:t>
            </w:r>
          </w:p>
        </w:tc>
        <w:tc>
          <w:tcPr>
            <w:tcW w:type="dxa" w:w="230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Externalized batch accounting reconciliations.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Double-entry append-only wallet ledger.</w:t>
            </w:r>
          </w:p>
        </w:tc>
        <w:tc>
          <w:tcPr>
            <w:tcW w:type="dxa" w:w="3168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Batch reconciliations cause credit disputes. Talentra guarantees instant balance consistency ($0.00 variance).</w:t>
            </w:r>
          </w:p>
        </w:tc>
      </w:tr>
      <w:tr>
        <w:tc>
          <w:tcPr>
            <w:tcW w:type="dxa" w:w="201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Sourcing Quota Metering</w:t>
            </w:r>
          </w:p>
        </w:tc>
        <w:tc>
          <w:tcPr>
            <w:tcW w:type="dxa" w:w="230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Opaque flat packages with little visibility.</w:t>
            </w:r>
          </w:p>
        </w:tc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Atomic metering in profile_download_history.</w:t>
            </w:r>
          </w:p>
        </w:tc>
        <w:tc>
          <w:tcPr>
            <w:tcW w:type="dxa" w:w="3168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Enterprise HR cannot audit which recruiter unlocked credits. Talentra provides immutable download logs.</w:t>
            </w:r>
          </w:p>
        </w:tc>
      </w:tr>
      <w:tr>
        <w:tc>
          <w:tcPr>
            <w:tcW w:type="dxa" w:w="201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Multi-Tenant Isolation</w:t>
            </w:r>
          </w:p>
        </w:tc>
        <w:tc>
          <w:tcPr>
            <w:tcW w:type="dxa" w:w="230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Application-level software WHERE clauses.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Engine-level PostgreSQL Row-Level Security.</w:t>
            </w:r>
          </w:p>
        </w:tc>
        <w:tc>
          <w:tcPr>
            <w:tcW w:type="dxa" w:w="3168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Code bugs in competitor apps can leak candidate pipelines. Talentra makes cross-tenant leaks physically impossible.</w:t>
            </w:r>
          </w:p>
        </w:tc>
      </w:tr>
      <w:tr>
        <w:tc>
          <w:tcPr>
            <w:tcW w:type="dxa" w:w="201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Statutory Consent</w:t>
            </w:r>
          </w:p>
        </w:tc>
        <w:tc>
          <w:tcPr>
            <w:tcW w:type="dxa" w:w="230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Retrofitted marketing cookie banners.</w:t>
            </w:r>
          </w:p>
        </w:tc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Purpose-bound consent registry with auto-erasure.</w:t>
            </w:r>
          </w:p>
        </w:tc>
        <w:tc>
          <w:tcPr>
            <w:tcW w:type="dxa" w:w="3168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DPDP Act 2023 imposes massive fines for illegal processing. Talentra guarantees compliance by design.</w:t>
            </w:r>
          </w:p>
        </w:tc>
      </w:tr>
      <w:tr>
        <w:tc>
          <w:tcPr>
            <w:tcW w:type="dxa" w:w="201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Seat Governance</w:t>
            </w:r>
          </w:p>
        </w:tc>
        <w:tc>
          <w:tcPr>
            <w:tcW w:type="dxa" w:w="230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Permissive multi-device credential sharing.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Single-active-session device locking procedure.</w:t>
            </w:r>
          </w:p>
        </w:tc>
        <w:tc>
          <w:tcPr>
            <w:tcW w:type="dxa" w:w="3168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Competitors suffer massive revenue leakage from seat sharing. Talentra protects licensing revenue at DB tier.</w:t>
            </w:r>
          </w:p>
        </w:tc>
      </w:tr>
    </w:tbl>
    <w:p/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3. Strategic Feature Inventory (F-01 to F-20)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864"/>
            <w:shd w:fill="1E3A8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2304"/>
            <w:shd w:fill="1E3A8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Feature Title</w:t>
            </w:r>
          </w:p>
        </w:tc>
        <w:tc>
          <w:tcPr>
            <w:tcW w:type="dxa" w:w="1296"/>
            <w:shd w:fill="1E3A8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Pillar</w:t>
            </w:r>
          </w:p>
        </w:tc>
        <w:tc>
          <w:tcPr>
            <w:tcW w:type="dxa" w:w="1296"/>
            <w:shd w:fill="1E3A8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MoSCoW Tier</w:t>
            </w:r>
          </w:p>
        </w:tc>
        <w:tc>
          <w:tcPr>
            <w:tcW w:type="dxa" w:w="1440"/>
            <w:shd w:fill="1E3A8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Mapped REQs</w:t>
            </w:r>
          </w:p>
        </w:tc>
        <w:tc>
          <w:tcPr>
            <w:tcW w:type="dxa" w:w="2880"/>
            <w:shd w:fill="1E3A8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Database Implementation Mechanism</w:t>
            </w:r>
          </w:p>
        </w:tc>
      </w:tr>
      <w:tr>
        <w:tc>
          <w:tcPr>
            <w:tcW w:type="dxa" w:w="86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F-01</w:t>
            </w:r>
          </w:p>
        </w:tc>
        <w:tc>
          <w:tcPr>
            <w:tcW w:type="dxa" w:w="230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Zero-Trust Authentication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Identity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Must-Have</w:t>
            </w:r>
          </w:p>
        </w:tc>
        <w:tc>
          <w:tcPr>
            <w:tcW w:type="dxa" w:w="14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REQ-01, 12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Argon2id password hashes, E.164 phone formats, session token tracking.</w:t>
            </w:r>
          </w:p>
        </w:tc>
      </w:tr>
      <w:tr>
        <w:tc>
          <w:tcPr>
            <w:tcW w:type="dxa" w:w="86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F-02</w:t>
            </w:r>
          </w:p>
        </w:tc>
        <w:tc>
          <w:tcPr>
            <w:tcW w:type="dxa" w:w="230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Granular 11-Module RBAC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Identity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Must-Have</w:t>
            </w:r>
          </w:p>
        </w:tc>
        <w:tc>
          <w:tcPr>
            <w:tcW w:type="dxa" w:w="144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REQ-13</w:t>
            </w:r>
          </w:p>
        </w:tc>
        <w:tc>
          <w:tcPr>
            <w:tcW w:type="dxa" w:w="288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11-module permission matrix enforced via database roles and session tokens.</w:t>
            </w:r>
          </w:p>
        </w:tc>
      </w:tr>
      <w:tr>
        <w:tc>
          <w:tcPr>
            <w:tcW w:type="dxa" w:w="86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F-03</w:t>
            </w:r>
          </w:p>
        </w:tc>
        <w:tc>
          <w:tcPr>
            <w:tcW w:type="dxa" w:w="230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Candidate Privacy Shield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Identity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Differentiator</w:t>
            </w:r>
          </w:p>
        </w:tc>
        <w:tc>
          <w:tcPr>
            <w:tcW w:type="dxa" w:w="14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REQ-14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Materialized anti-join views filtering candidate_block_list corporate IDs.</w:t>
            </w:r>
          </w:p>
        </w:tc>
      </w:tr>
      <w:tr>
        <w:tc>
          <w:tcPr>
            <w:tcW w:type="dxa" w:w="86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F-04</w:t>
            </w:r>
          </w:p>
        </w:tc>
        <w:tc>
          <w:tcPr>
            <w:tcW w:type="dxa" w:w="230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Multi-Tenant RLS Isolation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Tenancy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Must-Have</w:t>
            </w:r>
          </w:p>
        </w:tc>
        <w:tc>
          <w:tcPr>
            <w:tcW w:type="dxa" w:w="144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REQ-13</w:t>
            </w:r>
          </w:p>
        </w:tc>
        <w:tc>
          <w:tcPr>
            <w:tcW w:type="dxa" w:w="288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PostgreSQL Row-Level Security policies on organisation_id via session setting.</w:t>
            </w:r>
          </w:p>
        </w:tc>
      </w:tr>
      <w:tr>
        <w:tc>
          <w:tcPr>
            <w:tcW w:type="dxa" w:w="86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F-05</w:t>
            </w:r>
          </w:p>
        </w:tc>
        <w:tc>
          <w:tcPr>
            <w:tcW w:type="dxa" w:w="230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Multi-Branch Hierarchy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Tenancy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Should-Have</w:t>
            </w:r>
          </w:p>
        </w:tc>
        <w:tc>
          <w:tcPr>
            <w:tcW w:type="dxa" w:w="14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REQ-05, 13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Recursive parent-subsidiary CTE structure with cycle prevention trigger.</w:t>
            </w:r>
          </w:p>
        </w:tc>
      </w:tr>
      <w:tr>
        <w:tc>
          <w:tcPr>
            <w:tcW w:type="dxa" w:w="86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F-06</w:t>
            </w:r>
          </w:p>
        </w:tc>
        <w:tc>
          <w:tcPr>
            <w:tcW w:type="dxa" w:w="230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Skill Vector Profiles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Sourcing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Must-Have</w:t>
            </w:r>
          </w:p>
        </w:tc>
        <w:tc>
          <w:tcPr>
            <w:tcW w:type="dxa" w:w="144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REQ-06, 24</w:t>
            </w:r>
          </w:p>
        </w:tc>
        <w:tc>
          <w:tcPr>
            <w:tcW w:type="dxa" w:w="288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Parsed resume skill extraction and GIN trigram indexing for sub-10ms search.</w:t>
            </w:r>
          </w:p>
        </w:tc>
      </w:tr>
      <w:tr>
        <w:tc>
          <w:tcPr>
            <w:tcW w:type="dxa" w:w="86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F-07</w:t>
            </w:r>
          </w:p>
        </w:tc>
        <w:tc>
          <w:tcPr>
            <w:tcW w:type="dxa" w:w="230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Structured Assessments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Sourcing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Must-Have</w:t>
            </w:r>
          </w:p>
        </w:tc>
        <w:tc>
          <w:tcPr>
            <w:tcW w:type="dxa" w:w="14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REQ-07, 08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Versioned questionnaire trees with weighted scoring and qualification thresholds.</w:t>
            </w:r>
          </w:p>
        </w:tc>
      </w:tr>
      <w:tr>
        <w:tc>
          <w:tcPr>
            <w:tcW w:type="dxa" w:w="86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F-08</w:t>
            </w:r>
          </w:p>
        </w:tc>
        <w:tc>
          <w:tcPr>
            <w:tcW w:type="dxa" w:w="230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Consultant Marketplace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Sourcing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Differentiator</w:t>
            </w:r>
          </w:p>
        </w:tc>
        <w:tc>
          <w:tcPr>
            <w:tcW w:type="dxa" w:w="144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REQ-04, 17</w:t>
            </w:r>
          </w:p>
        </w:tc>
        <w:tc>
          <w:tcPr>
            <w:tcW w:type="dxa" w:w="288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Split-commission candidate representation with automated bounty allocation.</w:t>
            </w:r>
          </w:p>
        </w:tc>
      </w:tr>
      <w:tr>
        <w:tc>
          <w:tcPr>
            <w:tcW w:type="dxa" w:w="86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F-09</w:t>
            </w:r>
          </w:p>
        </w:tc>
        <w:tc>
          <w:tcPr>
            <w:tcW w:type="dxa" w:w="230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Resume Unlock Quotas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Monetization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Must-Have</w:t>
            </w:r>
          </w:p>
        </w:tc>
        <w:tc>
          <w:tcPr>
            <w:tcW w:type="dxa" w:w="14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REQ-18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Atomic decrement of monthly download allowance in profile_download_history.</w:t>
            </w:r>
          </w:p>
        </w:tc>
      </w:tr>
      <w:tr>
        <w:tc>
          <w:tcPr>
            <w:tcW w:type="dxa" w:w="86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F-10</w:t>
            </w:r>
          </w:p>
        </w:tc>
        <w:tc>
          <w:tcPr>
            <w:tcW w:type="dxa" w:w="230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Tiered Enterprise Licensing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Monetization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Must-Have</w:t>
            </w:r>
          </w:p>
        </w:tc>
        <w:tc>
          <w:tcPr>
            <w:tcW w:type="dxa" w:w="144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REQ-19</w:t>
            </w:r>
          </w:p>
        </w:tc>
        <w:tc>
          <w:tcPr>
            <w:tcW w:type="dxa" w:w="288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Subscription seat quota enforcement trigger blocking assignments &gt; max_seats.</w:t>
            </w:r>
          </w:p>
        </w:tc>
      </w:tr>
      <w:tr>
        <w:tc>
          <w:tcPr>
            <w:tcW w:type="dxa" w:w="86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F-11</w:t>
            </w:r>
          </w:p>
        </w:tc>
        <w:tc>
          <w:tcPr>
            <w:tcW w:type="dxa" w:w="230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Double-Entry Wallet Ledger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Billing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Differentiator</w:t>
            </w:r>
          </w:p>
        </w:tc>
        <w:tc>
          <w:tcPr>
            <w:tcW w:type="dxa" w:w="14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REQ-04, 17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Append-only paired CREDIT/DEBIT transaction logs with mutation exception blocks.</w:t>
            </w:r>
          </w:p>
        </w:tc>
      </w:tr>
      <w:tr>
        <w:tc>
          <w:tcPr>
            <w:tcW w:type="dxa" w:w="86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F-12</w:t>
            </w:r>
          </w:p>
        </w:tc>
        <w:tc>
          <w:tcPr>
            <w:tcW w:type="dxa" w:w="230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Automated Balance Sync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Billing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Must-Have</w:t>
            </w:r>
          </w:p>
        </w:tc>
        <w:tc>
          <w:tcPr>
            <w:tcW w:type="dxa" w:w="144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REQ-17</w:t>
            </w:r>
          </w:p>
        </w:tc>
        <w:tc>
          <w:tcPr>
            <w:tcW w:type="dxa" w:w="288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Database trigger recalculating wallet_account cleared balance from ledger rows.</w:t>
            </w:r>
          </w:p>
        </w:tc>
      </w:tr>
      <w:tr>
        <w:tc>
          <w:tcPr>
            <w:tcW w:type="dxa" w:w="86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F-13</w:t>
            </w:r>
          </w:p>
        </w:tc>
        <w:tc>
          <w:tcPr>
            <w:tcW w:type="dxa" w:w="230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Gig Profile Showcase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Gig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Must-Have</w:t>
            </w:r>
          </w:p>
        </w:tc>
        <w:tc>
          <w:tcPr>
            <w:tcW w:type="dxa" w:w="14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REQ-05, 20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Freelance worker profiles with trade categories, hourly rates, and verified badges.</w:t>
            </w:r>
          </w:p>
        </w:tc>
      </w:tr>
      <w:tr>
        <w:tc>
          <w:tcPr>
            <w:tcW w:type="dxa" w:w="86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F-14</w:t>
            </w:r>
          </w:p>
        </w:tc>
        <w:tc>
          <w:tcPr>
            <w:tcW w:type="dxa" w:w="230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GiST Conflict-Free Scheduling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Gig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Differentiator</w:t>
            </w:r>
          </w:p>
        </w:tc>
        <w:tc>
          <w:tcPr>
            <w:tcW w:type="dxa" w:w="144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REQ-15</w:t>
            </w:r>
          </w:p>
        </w:tc>
        <w:tc>
          <w:tcPr>
            <w:tcW w:type="dxa" w:w="288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EXCLUDE USING gist temporal exclusion constraint on worker contract intervals.</w:t>
            </w:r>
          </w:p>
        </w:tc>
      </w:tr>
      <w:tr>
        <w:tc>
          <w:tcPr>
            <w:tcW w:type="dxa" w:w="86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F-15</w:t>
            </w:r>
          </w:p>
        </w:tc>
        <w:tc>
          <w:tcPr>
            <w:tcW w:type="dxa" w:w="230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Milestone Escrow Governance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Gig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Must-Have</w:t>
            </w:r>
          </w:p>
        </w:tc>
        <w:tc>
          <w:tcPr>
            <w:tcW w:type="dxa" w:w="14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REQ-04, 17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Escrow fund locking on contract award and atomic release on milestone sign-off.</w:t>
            </w:r>
          </w:p>
        </w:tc>
      </w:tr>
      <w:tr>
        <w:tc>
          <w:tcPr>
            <w:tcW w:type="dxa" w:w="86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F-16</w:t>
            </w:r>
          </w:p>
        </w:tc>
        <w:tc>
          <w:tcPr>
            <w:tcW w:type="dxa" w:w="230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Compliance Audit Logging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Governance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Must-Have</w:t>
            </w:r>
          </w:p>
        </w:tc>
        <w:tc>
          <w:tcPr>
            <w:tcW w:type="dxa" w:w="144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REQ-09, 11</w:t>
            </w:r>
          </w:p>
        </w:tc>
        <w:tc>
          <w:tcPr>
            <w:tcW w:type="dxa" w:w="288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Forensic system_audit_event recording before/after JSONB snapshots and actor IDs.</w:t>
            </w:r>
          </w:p>
        </w:tc>
      </w:tr>
      <w:tr>
        <w:tc>
          <w:tcPr>
            <w:tcW w:type="dxa" w:w="86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F-17</w:t>
            </w:r>
          </w:p>
        </w:tc>
        <w:tc>
          <w:tcPr>
            <w:tcW w:type="dxa" w:w="230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DPDP Consent Management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Governance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Must-Have</w:t>
            </w:r>
          </w:p>
        </w:tc>
        <w:tc>
          <w:tcPr>
            <w:tcW w:type="dxa" w:w="14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REQ-10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Affirmative consent logging, purpose codes, and automated erasure cascade.</w:t>
            </w:r>
          </w:p>
        </w:tc>
      </w:tr>
      <w:tr>
        <w:tc>
          <w:tcPr>
            <w:tcW w:type="dxa" w:w="86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F-18</w:t>
            </w:r>
          </w:p>
        </w:tc>
        <w:tc>
          <w:tcPr>
            <w:tcW w:type="dxa" w:w="230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Candidate Referral Program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Engagement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Should-Have</w:t>
            </w:r>
          </w:p>
        </w:tc>
        <w:tc>
          <w:tcPr>
            <w:tcW w:type="dxa" w:w="144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REQ-23</w:t>
            </w:r>
          </w:p>
        </w:tc>
        <w:tc>
          <w:tcPr>
            <w:tcW w:type="dxa" w:w="288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Unique alphanumeric referral code tracking and automated bonus payout trigger.</w:t>
            </w:r>
          </w:p>
        </w:tc>
      </w:tr>
      <w:tr>
        <w:tc>
          <w:tcPr>
            <w:tcW w:type="dxa" w:w="86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F-19</w:t>
            </w:r>
          </w:p>
        </w:tc>
        <w:tc>
          <w:tcPr>
            <w:tcW w:type="dxa" w:w="230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Campus Cohort Management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Engagement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Should-Have</w:t>
            </w:r>
          </w:p>
        </w:tc>
        <w:tc>
          <w:tcPr>
            <w:tcW w:type="dxa" w:w="14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REQ-22</w:t>
            </w:r>
          </w:p>
        </w:tc>
        <w:tc>
          <w:tcPr>
            <w:tcW w:type="dxa" w:w="2880"/>
            <w:shd w:fill="FFFFFF"/>
          </w:tcPr>
          <w:p>
            <w:r>
              <w:t>Bulk campus candidate ingestion, university partner filters, and degree batch cohorts.</w:t>
            </w:r>
          </w:p>
        </w:tc>
      </w:tr>
      <w:tr>
        <w:tc>
          <w:tcPr>
            <w:tcW w:type="dxa" w:w="86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F-20</w:t>
            </w:r>
          </w:p>
        </w:tc>
        <w:tc>
          <w:tcPr>
            <w:tcW w:type="dxa" w:w="230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Recruitment Analytics Marts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Analytics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Should-Have</w:t>
            </w:r>
          </w:p>
        </w:tc>
        <w:tc>
          <w:tcPr>
            <w:tcW w:type="dxa" w:w="144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REQ-24</w:t>
            </w:r>
          </w:p>
        </w:tc>
        <w:tc>
          <w:tcPr>
            <w:tcW w:type="dxa" w:w="288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Aggregate reporting marts computing hiring velocity and pipeline funnel drop-off.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