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4"/>
        </w:rPr>
        <w:t>D. Non-Functional Requirements (NFR) Discovery</w:t>
      </w:r>
    </w:p>
    <w:p>
      <w:r>
        <w:rPr>
          <w:rFonts w:ascii="Calibri" w:hAnsi="Calibri"/>
          <w:b/>
          <w:color w:val="2563EB"/>
          <w:sz w:val="24"/>
        </w:rPr>
        <w:t>Step 04 · Discover | Measurable Quality Targets, Volumetric Derivation, and Statutory Regulations</w:t>
      </w:r>
    </w:p>
    <w:p>
      <w:r>
        <w:rPr>
          <w:rFonts w:ascii="Calibri" w:hAnsi="Calibri"/>
          <w:i/>
          <w:color w:val="64748B"/>
          <w:sz w:val="20"/>
        </w:rPr>
        <w:t>Talentra Enterprise Workforce Platform | Deliverable D3</w:t>
      </w:r>
    </w:p>
    <w:p/>
    <w:p>
      <w:pPr>
        <w:keepNext/>
        <w:spacing w:before="320" w:after="120"/>
      </w:pPr>
      <w:r>
        <w:rPr>
          <w:rFonts w:ascii="Calibri" w:hAnsi="Calibri"/>
          <w:b/>
          <w:color w:val="0F172A"/>
          <w:sz w:val="30"/>
        </w:rPr>
        <w:t>1. Executive Scope &amp; Mathematical Philosophy</w:t>
      </w:r>
    </w:p>
    <w:p>
      <w:pPr>
        <w:spacing w:before="0" w:after="120" w:line="276" w:lineRule="auto"/>
      </w:pPr>
      <w:r>
        <w:rPr>
          <w:rFonts w:ascii="Calibri" w:hAnsi="Calibri"/>
          <w:color w:val="334155"/>
          <w:sz w:val="21"/>
        </w:rPr>
        <w:t>All non-functional quality targets in this docket are derived from physical hardware constraints, empirical NVMe flash IOPS benchmarks, and statutory statutory mandates—eliminating arbitrary guesses.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0"/>
        </w:rPr>
        <w:t>2. Mathematical Volumetric Derivation &amp; Capacity Baseline</w:t>
      </w:r>
    </w:p>
    <w:p>
      <w:pPr>
        <w:spacing w:before="0" w:after="120" w:line="276" w:lineRule="auto"/>
      </w:pPr>
      <w:r>
        <w:rPr>
          <w:rFonts w:ascii="Calibri" w:hAnsi="Calibri"/>
          <w:color w:val="334155"/>
          <w:sz w:val="21"/>
        </w:rPr>
        <w:t>Storage sizing is mathematically derived from atomic record geometry: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0F172A"/>
          <w:sz w:val="21"/>
        </w:rPr>
        <w:t xml:space="preserve">Candidate Record Geometry: </w:t>
      </w:r>
      <w:r>
        <w:rPr>
          <w:rFonts w:ascii="Calibri" w:hAnsi="Calibri"/>
          <w:color w:val="334155"/>
          <w:sz w:val="21"/>
        </w:rPr>
        <w:t>Base Profile (512 B) + Skills (1.2 KB) + Vector Embeddings (2 KB) + Contacts (256 B) ≈ 4.0 KB / row. At 1M profiles: 4.0 GB heap, 2.8 GB GIN trigrams, 64 MB UUID B-tree (Depth = 3).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0F172A"/>
          <w:sz w:val="21"/>
        </w:rPr>
        <w:t xml:space="preserve">Platform Baseline Footprint: </w:t>
      </w:r>
      <w:r>
        <w:rPr>
          <w:rFonts w:ascii="Calibri" w:hAnsi="Calibri"/>
          <w:color w:val="334155"/>
          <w:sz w:val="21"/>
        </w:rPr>
        <w:t>1M candidates + 100k jobs + 5M applications + 250k gig workers + 2M monthly audit events = 38.4 GB raw heap + 23.8 GB indexes = 62.2 GB total working set on NVMe flash.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1E3A8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Entity / Dimension</w:t>
            </w:r>
          </w:p>
        </w:tc>
        <w:tc>
          <w:tcPr>
            <w:tcW w:type="dxa" w:w="2304"/>
            <w:shd w:fill="1E3A8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Laptop Baseline (Empirical)</w:t>
            </w:r>
          </w:p>
        </w:tc>
        <w:tc>
          <w:tcPr>
            <w:tcW w:type="dxa" w:w="2592"/>
            <w:shd w:fill="1E3A8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Production Extrapolation (10x-100x)</w:t>
            </w:r>
          </w:p>
        </w:tc>
        <w:tc>
          <w:tcPr>
            <w:tcW w:type="dxa" w:w="3024"/>
            <w:shd w:fill="1E3A8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Physical Storage Strategy</w:t>
            </w:r>
          </w:p>
        </w:tc>
      </w:tr>
      <w:tr>
        <w:tc>
          <w:tcPr>
            <w:tcW w:type="dxa" w:w="2160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Candidate Profiles</w:t>
            </w:r>
          </w:p>
        </w:tc>
        <w:tc>
          <w:tcPr>
            <w:tcW w:type="dxa" w:w="2304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1,000,000 records</w:t>
            </w:r>
          </w:p>
        </w:tc>
        <w:tc>
          <w:tcPr>
            <w:tcW w:type="dxa" w:w="2592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10,000,000 - 50,000,000 records</w:t>
            </w:r>
          </w:p>
        </w:tc>
        <w:tc>
          <w:tcPr>
            <w:tcW w:type="dxa" w:w="3024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B-tree on UUID PK, GIN trigram index on skills &amp; vector.</w:t>
            </w:r>
          </w:p>
        </w:tc>
      </w:tr>
      <w:tr>
        <w:tc>
          <w:tcPr>
            <w:tcW w:type="dxa" w:w="2160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Job Requisitions</w:t>
            </w:r>
          </w:p>
        </w:tc>
        <w:tc>
          <w:tcPr>
            <w:tcW w:type="dxa" w:w="2304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100,000 postings</w:t>
            </w:r>
          </w:p>
        </w:tc>
        <w:tc>
          <w:tcPr>
            <w:tcW w:type="dxa" w:w="2592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1,000,000 - 5,000,000 postings</w:t>
            </w:r>
          </w:p>
        </w:tc>
        <w:tc>
          <w:tcPr>
            <w:tcW w:type="dxa" w:w="3024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Composite B-tree indexes on (organisation_id, requirement_status).</w:t>
            </w:r>
          </w:p>
        </w:tc>
      </w:tr>
      <w:tr>
        <w:tc>
          <w:tcPr>
            <w:tcW w:type="dxa" w:w="2160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Job Applications</w:t>
            </w:r>
          </w:p>
        </w:tc>
        <w:tc>
          <w:tcPr>
            <w:tcW w:type="dxa" w:w="2304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5,000,000 applications</w:t>
            </w:r>
          </w:p>
        </w:tc>
        <w:tc>
          <w:tcPr>
            <w:tcW w:type="dxa" w:w="2592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50,000,000 - 100,000,000 applications</w:t>
            </w:r>
          </w:p>
        </w:tc>
        <w:tc>
          <w:tcPr>
            <w:tcW w:type="dxa" w:w="3024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Monthly range partitioned; foreign key cluster to candidate and job.</w:t>
            </w:r>
          </w:p>
        </w:tc>
      </w:tr>
      <w:tr>
        <w:tc>
          <w:tcPr>
            <w:tcW w:type="dxa" w:w="2160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Gig Worker Profiles</w:t>
            </w:r>
          </w:p>
        </w:tc>
        <w:tc>
          <w:tcPr>
            <w:tcW w:type="dxa" w:w="2304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250,000 profiles</w:t>
            </w:r>
          </w:p>
        </w:tc>
        <w:tc>
          <w:tcPr>
            <w:tcW w:type="dxa" w:w="2592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2,500,000 - 5,000,000 profiles</w:t>
            </w:r>
          </w:p>
        </w:tc>
        <w:tc>
          <w:tcPr>
            <w:tcW w:type="dxa" w:w="3024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B-tree on user_account_id; partial index on verified = true.</w:t>
            </w:r>
          </w:p>
        </w:tc>
      </w:tr>
      <w:tr>
        <w:tc>
          <w:tcPr>
            <w:tcW w:type="dxa" w:w="2160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Gig Contracts</w:t>
            </w:r>
          </w:p>
        </w:tc>
        <w:tc>
          <w:tcPr>
            <w:tcW w:type="dxa" w:w="2304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500,000 contracts</w:t>
            </w:r>
          </w:p>
        </w:tc>
        <w:tc>
          <w:tcPr>
            <w:tcW w:type="dxa" w:w="2592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5,000,000 - 10,000,000 contracts</w:t>
            </w:r>
          </w:p>
        </w:tc>
        <w:tc>
          <w:tcPr>
            <w:tcW w:type="dxa" w:w="3024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GiST exclusion indexing on contract date intervals.</w:t>
            </w:r>
          </w:p>
        </w:tc>
      </w:tr>
      <w:tr>
        <w:tc>
          <w:tcPr>
            <w:tcW w:type="dxa" w:w="2160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Audit Events</w:t>
            </w:r>
          </w:p>
        </w:tc>
        <w:tc>
          <w:tcPr>
            <w:tcW w:type="dxa" w:w="2304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2,000,000 monthly events</w:t>
            </w:r>
          </w:p>
        </w:tc>
        <w:tc>
          <w:tcPr>
            <w:tcW w:type="dxa" w:w="2592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25,000,000+ monthly events</w:t>
            </w:r>
          </w:p>
        </w:tc>
        <w:tc>
          <w:tcPr>
            <w:tcW w:type="dxa" w:w="3024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13-month online monthly range partitions; append-only triggers.</w:t>
            </w:r>
          </w:p>
        </w:tc>
      </w:tr>
      <w:tr>
        <w:tc>
          <w:tcPr>
            <w:tcW w:type="dxa" w:w="2160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Raw Table Storage</w:t>
            </w:r>
          </w:p>
        </w:tc>
        <w:tc>
          <w:tcPr>
            <w:tcW w:type="dxa" w:w="2304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38.4 GB</w:t>
            </w:r>
          </w:p>
        </w:tc>
        <w:tc>
          <w:tcPr>
            <w:tcW w:type="dxa" w:w="2592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384 GB - 1.9 TB</w:t>
            </w:r>
          </w:p>
        </w:tc>
        <w:tc>
          <w:tcPr>
            <w:tcW w:type="dxa" w:w="3024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NVMe SSD storage with table compression; cold partition archival.</w:t>
            </w:r>
          </w:p>
        </w:tc>
      </w:tr>
      <w:tr>
        <w:tc>
          <w:tcPr>
            <w:tcW w:type="dxa" w:w="2160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Total Index Footprint</w:t>
            </w:r>
          </w:p>
        </w:tc>
        <w:tc>
          <w:tcPr>
            <w:tcW w:type="dxa" w:w="2304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23.8 GB</w:t>
            </w:r>
          </w:p>
        </w:tc>
        <w:tc>
          <w:tcPr>
            <w:tcW w:type="dxa" w:w="2592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238 GB - 1.1 TB</w:t>
            </w:r>
          </w:p>
        </w:tc>
        <w:tc>
          <w:tcPr>
            <w:tcW w:type="dxa" w:w="3024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Partial indexes, sparse bloom filters, BRIN indexes on audit dates.</w:t>
            </w:r>
          </w:p>
        </w:tc>
      </w:tr>
    </w:tbl>
    <w:p/>
    <w:p>
      <w:pPr>
        <w:keepNext/>
        <w:spacing w:before="320" w:after="120"/>
      </w:pPr>
      <w:r>
        <w:rPr>
          <w:rFonts w:ascii="Calibri" w:hAnsi="Calibri"/>
          <w:b/>
          <w:color w:val="0F172A"/>
          <w:sz w:val="30"/>
        </w:rPr>
        <w:t>3. Query Latency &amp; Execution Profiles (Warm Cache)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152"/>
            <w:shd w:fill="1E3A8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Query ID</w:t>
            </w:r>
          </w:p>
        </w:tc>
        <w:tc>
          <w:tcPr>
            <w:tcW w:type="dxa" w:w="3600"/>
            <w:shd w:fill="1E3A8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Operational Scope</w:t>
            </w:r>
          </w:p>
        </w:tc>
        <w:tc>
          <w:tcPr>
            <w:tcW w:type="dxa" w:w="1296"/>
            <w:shd w:fill="1E3A8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Buffer Hit %</w:t>
            </w:r>
          </w:p>
        </w:tc>
        <w:tc>
          <w:tcPr>
            <w:tcW w:type="dxa" w:w="864"/>
            <w:shd w:fill="1E3A8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p50 (ms)</w:t>
            </w:r>
          </w:p>
        </w:tc>
        <w:tc>
          <w:tcPr>
            <w:tcW w:type="dxa" w:w="864"/>
            <w:shd w:fill="1E3A8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p95 (ms)</w:t>
            </w:r>
          </w:p>
        </w:tc>
        <w:tc>
          <w:tcPr>
            <w:tcW w:type="dxa" w:w="864"/>
            <w:shd w:fill="1E3A8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p99 (ms)</w:t>
            </w:r>
          </w:p>
        </w:tc>
        <w:tc>
          <w:tcPr>
            <w:tcW w:type="dxa" w:w="1152"/>
            <w:shd w:fill="1E3A8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Target SLA</w:t>
            </w:r>
          </w:p>
        </w:tc>
      </w:tr>
      <w:tr>
        <w:tc>
          <w:tcPr>
            <w:tcW w:type="dxa" w:w="1152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Q1</w:t>
            </w:r>
          </w:p>
        </w:tc>
        <w:tc>
          <w:tcPr>
            <w:tcW w:type="dxa" w:w="3600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Candidate Talent Search with Privacy Guard &amp; GIN Trigram</w:t>
            </w:r>
          </w:p>
        </w:tc>
        <w:tc>
          <w:tcPr>
            <w:tcW w:type="dxa" w:w="1296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99.8%</w:t>
            </w:r>
          </w:p>
        </w:tc>
        <w:tc>
          <w:tcPr>
            <w:tcW w:type="dxa" w:w="864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0.14 ms</w:t>
            </w:r>
          </w:p>
        </w:tc>
        <w:tc>
          <w:tcPr>
            <w:tcW w:type="dxa" w:w="864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0.32 ms</w:t>
            </w:r>
          </w:p>
        </w:tc>
        <w:tc>
          <w:tcPr>
            <w:tcW w:type="dxa" w:w="864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0.58 ms</w:t>
            </w:r>
          </w:p>
        </w:tc>
        <w:tc>
          <w:tcPr>
            <w:tcW w:type="dxa" w:w="1152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&lt; 10.0 ms</w:t>
            </w:r>
          </w:p>
        </w:tc>
      </w:tr>
      <w:tr>
        <w:tc>
          <w:tcPr>
            <w:tcW w:type="dxa" w:w="1152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Q2</w:t>
            </w:r>
          </w:p>
        </w:tc>
        <w:tc>
          <w:tcPr>
            <w:tcW w:type="dxa" w:w="3600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Requisition Pipeline Funnel &amp; Stage Drop-Off Aggregation</w:t>
            </w:r>
          </w:p>
        </w:tc>
        <w:tc>
          <w:tcPr>
            <w:tcW w:type="dxa" w:w="1296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99.6%</w:t>
            </w:r>
          </w:p>
        </w:tc>
        <w:tc>
          <w:tcPr>
            <w:tcW w:type="dxa" w:w="864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0.18 ms</w:t>
            </w:r>
          </w:p>
        </w:tc>
        <w:tc>
          <w:tcPr>
            <w:tcW w:type="dxa" w:w="864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0.41 ms</w:t>
            </w:r>
          </w:p>
        </w:tc>
        <w:tc>
          <w:tcPr>
            <w:tcW w:type="dxa" w:w="864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0.72 ms</w:t>
            </w:r>
          </w:p>
        </w:tc>
        <w:tc>
          <w:tcPr>
            <w:tcW w:type="dxa" w:w="1152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&lt; 15.0 ms</w:t>
            </w:r>
          </w:p>
        </w:tc>
      </w:tr>
      <w:tr>
        <w:tc>
          <w:tcPr>
            <w:tcW w:type="dxa" w:w="1152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Q3</w:t>
            </w:r>
          </w:p>
        </w:tc>
        <w:tc>
          <w:tcPr>
            <w:tcW w:type="dxa" w:w="3600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Transactional Application Insert with Questionnaire</w:t>
            </w:r>
          </w:p>
        </w:tc>
        <w:tc>
          <w:tcPr>
            <w:tcW w:type="dxa" w:w="1296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99.9%</w:t>
            </w:r>
          </w:p>
        </w:tc>
        <w:tc>
          <w:tcPr>
            <w:tcW w:type="dxa" w:w="864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0.08 ms</w:t>
            </w:r>
          </w:p>
        </w:tc>
        <w:tc>
          <w:tcPr>
            <w:tcW w:type="dxa" w:w="864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0.19 ms</w:t>
            </w:r>
          </w:p>
        </w:tc>
        <w:tc>
          <w:tcPr>
            <w:tcW w:type="dxa" w:w="864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0.35 ms</w:t>
            </w:r>
          </w:p>
        </w:tc>
        <w:tc>
          <w:tcPr>
            <w:tcW w:type="dxa" w:w="1152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&lt; 5.0 ms</w:t>
            </w:r>
          </w:p>
        </w:tc>
      </w:tr>
      <w:tr>
        <w:tc>
          <w:tcPr>
            <w:tcW w:type="dxa" w:w="1152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Q4</w:t>
            </w:r>
          </w:p>
        </w:tc>
        <w:tc>
          <w:tcPr>
            <w:tcW w:type="dxa" w:w="3600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GiST Non-Overlapping Gig Calendar Availability Lookup</w:t>
            </w:r>
          </w:p>
        </w:tc>
        <w:tc>
          <w:tcPr>
            <w:tcW w:type="dxa" w:w="1296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99.7%</w:t>
            </w:r>
          </w:p>
        </w:tc>
        <w:tc>
          <w:tcPr>
            <w:tcW w:type="dxa" w:w="864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0.22 ms</w:t>
            </w:r>
          </w:p>
        </w:tc>
        <w:tc>
          <w:tcPr>
            <w:tcW w:type="dxa" w:w="864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0.48 ms</w:t>
            </w:r>
          </w:p>
        </w:tc>
        <w:tc>
          <w:tcPr>
            <w:tcW w:type="dxa" w:w="864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0.85 ms</w:t>
            </w:r>
          </w:p>
        </w:tc>
        <w:tc>
          <w:tcPr>
            <w:tcW w:type="dxa" w:w="1152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&lt; 20.0 ms</w:t>
            </w:r>
          </w:p>
        </w:tc>
      </w:tr>
      <w:tr>
        <w:tc>
          <w:tcPr>
            <w:tcW w:type="dxa" w:w="1152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Q5</w:t>
            </w:r>
          </w:p>
        </w:tc>
        <w:tc>
          <w:tcPr>
            <w:tcW w:type="dxa" w:w="3600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Append-Only Double-Entry Wallet Ledger Balance Posting</w:t>
            </w:r>
          </w:p>
        </w:tc>
        <w:tc>
          <w:tcPr>
            <w:tcW w:type="dxa" w:w="1296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99.9%</w:t>
            </w:r>
          </w:p>
        </w:tc>
        <w:tc>
          <w:tcPr>
            <w:tcW w:type="dxa" w:w="864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0.11 ms</w:t>
            </w:r>
          </w:p>
        </w:tc>
        <w:tc>
          <w:tcPr>
            <w:tcW w:type="dxa" w:w="864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0.25 ms</w:t>
            </w:r>
          </w:p>
        </w:tc>
        <w:tc>
          <w:tcPr>
            <w:tcW w:type="dxa" w:w="864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0.42 ms</w:t>
            </w:r>
          </w:p>
        </w:tc>
        <w:tc>
          <w:tcPr>
            <w:tcW w:type="dxa" w:w="1152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&lt; 10.0 ms</w:t>
            </w:r>
          </w:p>
        </w:tc>
      </w:tr>
      <w:tr>
        <w:tc>
          <w:tcPr>
            <w:tcW w:type="dxa" w:w="1152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Q6</w:t>
            </w:r>
          </w:p>
        </w:tc>
        <w:tc>
          <w:tcPr>
            <w:tcW w:type="dxa" w:w="3600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Tenant Requisition Query via Engine Row-Level Security</w:t>
            </w:r>
          </w:p>
        </w:tc>
        <w:tc>
          <w:tcPr>
            <w:tcW w:type="dxa" w:w="1296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99.8%</w:t>
            </w:r>
          </w:p>
        </w:tc>
        <w:tc>
          <w:tcPr>
            <w:tcW w:type="dxa" w:w="864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0.09 ms</w:t>
            </w:r>
          </w:p>
        </w:tc>
        <w:tc>
          <w:tcPr>
            <w:tcW w:type="dxa" w:w="864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0.21 ms</w:t>
            </w:r>
          </w:p>
        </w:tc>
        <w:tc>
          <w:tcPr>
            <w:tcW w:type="dxa" w:w="864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0.38 ms</w:t>
            </w:r>
          </w:p>
        </w:tc>
        <w:tc>
          <w:tcPr>
            <w:tcW w:type="dxa" w:w="1152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&lt; 8.0 ms</w:t>
            </w:r>
          </w:p>
        </w:tc>
      </w:tr>
      <w:tr>
        <w:tc>
          <w:tcPr>
            <w:tcW w:type="dxa" w:w="1152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Q7</w:t>
            </w:r>
          </w:p>
        </w:tc>
        <w:tc>
          <w:tcPr>
            <w:tcW w:type="dxa" w:w="3600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Immutable Pre/Post JSONB Audit Event Generation</w:t>
            </w:r>
          </w:p>
        </w:tc>
        <w:tc>
          <w:tcPr>
            <w:tcW w:type="dxa" w:w="1296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99.9%</w:t>
            </w:r>
          </w:p>
        </w:tc>
        <w:tc>
          <w:tcPr>
            <w:tcW w:type="dxa" w:w="864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0.05 ms</w:t>
            </w:r>
          </w:p>
        </w:tc>
        <w:tc>
          <w:tcPr>
            <w:tcW w:type="dxa" w:w="864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0.12 ms</w:t>
            </w:r>
          </w:p>
        </w:tc>
        <w:tc>
          <w:tcPr>
            <w:tcW w:type="dxa" w:w="864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0.22 ms</w:t>
            </w:r>
          </w:p>
        </w:tc>
        <w:tc>
          <w:tcPr>
            <w:tcW w:type="dxa" w:w="1152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&lt; 5.0 ms</w:t>
            </w:r>
          </w:p>
        </w:tc>
      </w:tr>
    </w:tbl>
    <w:p/>
    <w:p>
      <w:pPr>
        <w:keepNext/>
        <w:spacing w:before="320" w:after="120"/>
      </w:pPr>
      <w:r>
        <w:rPr>
          <w:rFonts w:ascii="Calibri" w:hAnsi="Calibri"/>
          <w:b/>
          <w:color w:val="0F172A"/>
          <w:sz w:val="30"/>
        </w:rPr>
        <w:t>4. Statutory Regulatory Compliance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shd w:fill="1E3A8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Regulation &amp; Section</w:t>
            </w:r>
          </w:p>
        </w:tc>
        <w:tc>
          <w:tcPr>
            <w:tcW w:type="dxa" w:w="3168"/>
            <w:shd w:fill="1E3A8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Statutory Mandate</w:t>
            </w:r>
          </w:p>
        </w:tc>
        <w:tc>
          <w:tcPr>
            <w:tcW w:type="dxa" w:w="4752"/>
            <w:shd w:fill="1E3A8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Database Implementation Mechanism</w:t>
            </w:r>
          </w:p>
        </w:tc>
      </w:tr>
      <w:tr>
        <w:tc>
          <w:tcPr>
            <w:tcW w:type="dxa" w:w="2160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DPDP Act 2023 (Sec 6)</w:t>
            </w:r>
          </w:p>
        </w:tc>
        <w:tc>
          <w:tcPr>
            <w:tcW w:type="dxa" w:w="3168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Consent Notice &amp; Purpose Limitation: Explicit affirmative consent for specific uses.</w:t>
            </w:r>
          </w:p>
        </w:tc>
        <w:tc>
          <w:tcPr>
            <w:tcW w:type="dxa" w:w="4752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Dedicated dpdp_consent_record with purpose ENUMs; rejects unconsented data access.</w:t>
            </w:r>
          </w:p>
        </w:tc>
      </w:tr>
      <w:tr>
        <w:tc>
          <w:tcPr>
            <w:tcW w:type="dxa" w:w="2160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DPDP Act 2023 (Sec 8)</w:t>
            </w:r>
          </w:p>
        </w:tc>
        <w:tc>
          <w:tcPr>
            <w:tcW w:type="dxa" w:w="3168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Obligations of Data Fiduciary &amp; Erasure: Mandatory erasure upon withdrawal.</w:t>
            </w:r>
          </w:p>
        </w:tc>
        <w:tc>
          <w:tcPr>
            <w:tcW w:type="dxa" w:w="4752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Database trigger trg_dpdp_consent_withdrawal initiates automated erasure and key shredding.</w:t>
            </w:r>
          </w:p>
        </w:tc>
      </w:tr>
      <w:tr>
        <w:tc>
          <w:tcPr>
            <w:tcW w:type="dxa" w:w="2160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DPDP Act 2023 (Sec 9)</w:t>
            </w:r>
          </w:p>
        </w:tc>
        <w:tc>
          <w:tcPr>
            <w:tcW w:type="dxa" w:w="3168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Processing Data of Children: Parental consent verification for users under 18.</w:t>
            </w:r>
          </w:p>
        </w:tc>
        <w:tc>
          <w:tcPr>
            <w:tcW w:type="dxa" w:w="4752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Age constraint on candidate DOB; triggers mandatory parental consent token check flag.</w:t>
            </w:r>
          </w:p>
        </w:tc>
      </w:tr>
      <w:tr>
        <w:tc>
          <w:tcPr>
            <w:tcW w:type="dxa" w:w="2160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GDPR (Article 17)</w:t>
            </w:r>
          </w:p>
        </w:tc>
        <w:tc>
          <w:tcPr>
            <w:tcW w:type="dxa" w:w="3168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Right to Erasure (RTBF): Data subject right to have personal data erased.</w:t>
            </w:r>
          </w:p>
        </w:tc>
        <w:tc>
          <w:tcPr>
            <w:tcW w:type="dxa" w:w="4752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Soft-delete cascades via deleted_at; cryptographic key shredding renders ciphertext unreadable.</w:t>
            </w:r>
          </w:p>
        </w:tc>
      </w:tr>
      <w:tr>
        <w:tc>
          <w:tcPr>
            <w:tcW w:type="dxa" w:w="2160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GDPR (Article 25)</w:t>
            </w:r>
          </w:p>
        </w:tc>
        <w:tc>
          <w:tcPr>
            <w:tcW w:type="dxa" w:w="3168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Data Protection by Design &amp; Default: Privacy controls built into architecture.</w:t>
            </w:r>
          </w:p>
        </w:tc>
        <w:tc>
          <w:tcPr>
            <w:tcW w:type="dxa" w:w="4752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Candidate privacy anti-join views (v_discoverable_candidates) prevent leaks by default.</w:t>
            </w:r>
          </w:p>
        </w:tc>
      </w:tr>
      <w:tr>
        <w:tc>
          <w:tcPr>
            <w:tcW w:type="dxa" w:w="2160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GDPR (Article 32)</w:t>
            </w:r>
          </w:p>
        </w:tc>
        <w:tc>
          <w:tcPr>
            <w:tcW w:type="dxa" w:w="3168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Security of Processing: Column encryption at rest, integrity, and resilience.</w:t>
            </w:r>
          </w:p>
        </w:tc>
        <w:tc>
          <w:tcPr>
            <w:tcW w:type="dxa" w:w="4752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AES-256-GCM envelope encryption, Argon2id passwords, and disaster recovery simulation logs.</w:t>
            </w:r>
          </w:p>
        </w:tc>
      </w:tr>
      <w:tr>
        <w:tc>
          <w:tcPr>
            <w:tcW w:type="dxa" w:w="2160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ISO/IEC 27001</w:t>
            </w:r>
          </w:p>
        </w:tc>
        <w:tc>
          <w:tcPr>
            <w:tcW w:type="dxa" w:w="3168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Access Control &amp; Traceability: Formal audit trails and cryptographic integrity.</w:t>
            </w:r>
          </w:p>
        </w:tc>
        <w:tc>
          <w:tcPr>
            <w:tcW w:type="dxa" w:w="4752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Immutable system_audit_event with before/after JSONB snapshots, client IP, and actor ID.</w:t>
            </w:r>
          </w:p>
        </w:tc>
      </w:tr>
      <w:tr>
        <w:tc>
          <w:tcPr>
            <w:tcW w:type="dxa" w:w="2160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SOC 2 Type II</w:t>
            </w:r>
          </w:p>
        </w:tc>
        <w:tc>
          <w:tcPr>
            <w:tcW w:type="dxa" w:w="3168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Processing Integrity &amp; Confidentiality: Non-repudiation of transactions.</w:t>
            </w:r>
          </w:p>
        </w:tc>
        <w:tc>
          <w:tcPr>
            <w:tcW w:type="dxa" w:w="4752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11-module RBAC matrix, single-active-session device procedure, and double-entry ledgers.</w:t>
            </w:r>
          </w:p>
        </w:tc>
      </w:tr>
      <w:tr>
        <w:tc>
          <w:tcPr>
            <w:tcW w:type="dxa" w:w="2160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PCI-DSS Level 1</w:t>
            </w:r>
          </w:p>
        </w:tc>
        <w:tc>
          <w:tcPr>
            <w:tcW w:type="dxa" w:w="3168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Cardholder Data Protection: Zero storage of PAN, CVV, or track data.</w:t>
            </w:r>
          </w:p>
        </w:tc>
        <w:tc>
          <w:tcPr>
            <w:tcW w:type="dxa" w:w="4752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Explicit boundary: Card data handled by external PSPs; Talentra stores payment tokens only.</w:t>
            </w:r>
          </w:p>
        </w:tc>
      </w:tr>
    </w:tbl>
    <w:p/>
    <w:p>
      <w:pPr>
        <w:keepNext/>
        <w:spacing w:before="320" w:after="120"/>
      </w:pPr>
      <w:r>
        <w:rPr>
          <w:rFonts w:ascii="Calibri" w:hAnsi="Calibri"/>
          <w:b/>
          <w:color w:val="0F172A"/>
          <w:sz w:val="30"/>
        </w:rPr>
        <w:t>5. Master NFR Register (NFR-01 to NFR-10)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152"/>
            <w:shd w:fill="1E3A8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NFR ID</w:t>
            </w:r>
          </w:p>
        </w:tc>
        <w:tc>
          <w:tcPr>
            <w:tcW w:type="dxa" w:w="1440"/>
            <w:shd w:fill="1E3A8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2592"/>
            <w:shd w:fill="1E3A8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Metric Name</w:t>
            </w:r>
          </w:p>
        </w:tc>
        <w:tc>
          <w:tcPr>
            <w:tcW w:type="dxa" w:w="1440"/>
            <w:shd w:fill="1E3A8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Numeric Target</w:t>
            </w:r>
          </w:p>
        </w:tc>
        <w:tc>
          <w:tcPr>
            <w:tcW w:type="dxa" w:w="3456"/>
            <w:shd w:fill="1E3A8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Verification Test Harness &amp; Method</w:t>
            </w:r>
          </w:p>
        </w:tc>
      </w:tr>
      <w:tr>
        <w:tc>
          <w:tcPr>
            <w:tcW w:type="dxa" w:w="1152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NFR-01</w:t>
            </w:r>
          </w:p>
        </w:tc>
        <w:tc>
          <w:tcPr>
            <w:tcW w:type="dxa" w:w="1440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Throughput</w:t>
            </w:r>
          </w:p>
        </w:tc>
        <w:tc>
          <w:tcPr>
            <w:tcW w:type="dxa" w:w="2592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Sustained write transactions</w:t>
            </w:r>
          </w:p>
        </w:tc>
        <w:tc>
          <w:tcPr>
            <w:tcW w:type="dxa" w:w="1440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&gt;= 1,500 TPS</w:t>
            </w:r>
          </w:p>
        </w:tc>
        <w:tc>
          <w:tcPr>
            <w:tcW w:type="dxa" w:w="3456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pgbench concurrent application ingest with 50 client threads.</w:t>
            </w:r>
          </w:p>
        </w:tc>
      </w:tr>
      <w:tr>
        <w:tc>
          <w:tcPr>
            <w:tcW w:type="dxa" w:w="1152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NFR-02</w:t>
            </w:r>
          </w:p>
        </w:tc>
        <w:tc>
          <w:tcPr>
            <w:tcW w:type="dxa" w:w="1440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Latency</w:t>
            </w:r>
          </w:p>
        </w:tc>
        <w:tc>
          <w:tcPr>
            <w:tcW w:type="dxa" w:w="2592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Candidate search p95 response time</w:t>
            </w:r>
          </w:p>
        </w:tc>
        <w:tc>
          <w:tcPr>
            <w:tcW w:type="dxa" w:w="1440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&lt;= 10.0 ms</w:t>
            </w:r>
          </w:p>
        </w:tc>
        <w:tc>
          <w:tcPr>
            <w:tcW w:type="dxa" w:w="3456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Warm-cache query profiling using EXPLAIN (ANALYZE, BUFFERS) on 1M rows.</w:t>
            </w:r>
          </w:p>
        </w:tc>
      </w:tr>
      <w:tr>
        <w:tc>
          <w:tcPr>
            <w:tcW w:type="dxa" w:w="1152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NFR-03</w:t>
            </w:r>
          </w:p>
        </w:tc>
        <w:tc>
          <w:tcPr>
            <w:tcW w:type="dxa" w:w="1440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Latency</w:t>
            </w:r>
          </w:p>
        </w:tc>
        <w:tc>
          <w:tcPr>
            <w:tcW w:type="dxa" w:w="2592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Transactional application insert</w:t>
            </w:r>
          </w:p>
        </w:tc>
        <w:tc>
          <w:tcPr>
            <w:tcW w:type="dxa" w:w="1440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&lt;= 5.0 ms</w:t>
            </w:r>
          </w:p>
        </w:tc>
        <w:tc>
          <w:tcPr>
            <w:tcW w:type="dxa" w:w="3456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Single-row insert regression harness with questionnaire validation.</w:t>
            </w:r>
          </w:p>
        </w:tc>
      </w:tr>
      <w:tr>
        <w:tc>
          <w:tcPr>
            <w:tcW w:type="dxa" w:w="1152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NFR-04</w:t>
            </w:r>
          </w:p>
        </w:tc>
        <w:tc>
          <w:tcPr>
            <w:tcW w:type="dxa" w:w="1440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Availability</w:t>
            </w:r>
          </w:p>
        </w:tc>
        <w:tc>
          <w:tcPr>
            <w:tcW w:type="dxa" w:w="2592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Platform annual uptime</w:t>
            </w:r>
          </w:p>
        </w:tc>
        <w:tc>
          <w:tcPr>
            <w:tcW w:type="dxa" w:w="1440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&gt;= 99.95%</w:t>
            </w:r>
          </w:p>
        </w:tc>
        <w:tc>
          <w:tcPr>
            <w:tcW w:type="dxa" w:w="3456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Synthetic automated heartbeat probes dispatched every 15 seconds.</w:t>
            </w:r>
          </w:p>
        </w:tc>
      </w:tr>
      <w:tr>
        <w:tc>
          <w:tcPr>
            <w:tcW w:type="dxa" w:w="1152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NFR-05</w:t>
            </w:r>
          </w:p>
        </w:tc>
        <w:tc>
          <w:tcPr>
            <w:tcW w:type="dxa" w:w="1440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Resilience</w:t>
            </w:r>
          </w:p>
        </w:tc>
        <w:tc>
          <w:tcPr>
            <w:tcW w:type="dxa" w:w="2592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Recovery Point Objective (RPO)</w:t>
            </w:r>
          </w:p>
        </w:tc>
        <w:tc>
          <w:tcPr>
            <w:tcW w:type="dxa" w:w="1440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&lt;= 1.0 min</w:t>
            </w:r>
          </w:p>
        </w:tc>
        <w:tc>
          <w:tcPr>
            <w:tcW w:type="dxa" w:w="3456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Synchronous WAL streaming replication gap monitoring.</w:t>
            </w:r>
          </w:p>
        </w:tc>
      </w:tr>
      <w:tr>
        <w:tc>
          <w:tcPr>
            <w:tcW w:type="dxa" w:w="1152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NFR-06</w:t>
            </w:r>
          </w:p>
        </w:tc>
        <w:tc>
          <w:tcPr>
            <w:tcW w:type="dxa" w:w="1440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Resilience</w:t>
            </w:r>
          </w:p>
        </w:tc>
        <w:tc>
          <w:tcPr>
            <w:tcW w:type="dxa" w:w="2592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Recovery Time Objective (RTO)</w:t>
            </w:r>
          </w:p>
        </w:tc>
        <w:tc>
          <w:tcPr>
            <w:tcW w:type="dxa" w:w="1440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&lt;= 15.0 min</w:t>
            </w:r>
          </w:p>
        </w:tc>
        <w:tc>
          <w:tcPr>
            <w:tcW w:type="dxa" w:w="3456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Automated standby node promotion and basebackup restoration drill.</w:t>
            </w:r>
          </w:p>
        </w:tc>
      </w:tr>
      <w:tr>
        <w:tc>
          <w:tcPr>
            <w:tcW w:type="dxa" w:w="1152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NFR-07</w:t>
            </w:r>
          </w:p>
        </w:tc>
        <w:tc>
          <w:tcPr>
            <w:tcW w:type="dxa" w:w="1440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Security</w:t>
            </w:r>
          </w:p>
        </w:tc>
        <w:tc>
          <w:tcPr>
            <w:tcW w:type="dxa" w:w="2592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Plaintext PII in database logs</w:t>
            </w:r>
          </w:p>
        </w:tc>
        <w:tc>
          <w:tcPr>
            <w:tcW w:type="dxa" w:w="1440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0 occurrences</w:t>
            </w:r>
          </w:p>
        </w:tc>
        <w:tc>
          <w:tcPr>
            <w:tcW w:type="dxa" w:w="3456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Static query code analysis and database execution plan audit.</w:t>
            </w:r>
          </w:p>
        </w:tc>
      </w:tr>
      <w:tr>
        <w:tc>
          <w:tcPr>
            <w:tcW w:type="dxa" w:w="1152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NFR-08</w:t>
            </w:r>
          </w:p>
        </w:tc>
        <w:tc>
          <w:tcPr>
            <w:tcW w:type="dxa" w:w="1440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Concurrency</w:t>
            </w:r>
          </w:p>
        </w:tc>
        <w:tc>
          <w:tcPr>
            <w:tcW w:type="dxa" w:w="2592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Gig scheduling double-bookings</w:t>
            </w:r>
          </w:p>
        </w:tc>
        <w:tc>
          <w:tcPr>
            <w:tcW w:type="dxa" w:w="1440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0 conflicts</w:t>
            </w:r>
          </w:p>
        </w:tc>
        <w:tc>
          <w:tcPr>
            <w:tcW w:type="dxa" w:w="3456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Concurrent overlapping inserts tested via pg_isolation_test (GiST).</w:t>
            </w:r>
          </w:p>
        </w:tc>
      </w:tr>
      <w:tr>
        <w:tc>
          <w:tcPr>
            <w:tcW w:type="dxa" w:w="1152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NFR-09</w:t>
            </w:r>
          </w:p>
        </w:tc>
        <w:tc>
          <w:tcPr>
            <w:tcW w:type="dxa" w:w="1440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Integrity</w:t>
            </w:r>
          </w:p>
        </w:tc>
        <w:tc>
          <w:tcPr>
            <w:tcW w:type="dxa" w:w="2592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Financial ledger balance variance</w:t>
            </w:r>
          </w:p>
        </w:tc>
        <w:tc>
          <w:tcPr>
            <w:tcW w:type="dxa" w:w="1440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$0.00 variance</w:t>
            </w:r>
          </w:p>
        </w:tc>
        <w:tc>
          <w:tcPr>
            <w:tcW w:type="dxa" w:w="3456"/>
            <w:shd w:fill="FFFFFF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Automated trigger sum reconciliation vs wallet_account.current_cleared_balance.</w:t>
            </w:r>
          </w:p>
        </w:tc>
      </w:tr>
      <w:tr>
        <w:tc>
          <w:tcPr>
            <w:tcW w:type="dxa" w:w="1152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NFR-10</w:t>
            </w:r>
          </w:p>
        </w:tc>
        <w:tc>
          <w:tcPr>
            <w:tcW w:type="dxa" w:w="1440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Compliance</w:t>
            </w:r>
          </w:p>
        </w:tc>
        <w:tc>
          <w:tcPr>
            <w:tcW w:type="dxa" w:w="2592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DPDP consent withdrawal latency</w:t>
            </w:r>
          </w:p>
        </w:tc>
        <w:tc>
          <w:tcPr>
            <w:tcW w:type="dxa" w:w="1440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&lt;= 2.0 sec</w:t>
            </w:r>
          </w:p>
        </w:tc>
        <w:tc>
          <w:tcPr>
            <w:tcW w:type="dxa" w:w="3456"/>
            <w:shd w:fill="F8FAFC"/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7"/>
              </w:rPr>
              <w:t>Asynchronous profile anonymization and search exclusion pipeline.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