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2016</w:t>
            </w:r>
          </w:p>
        </w:tc>
        <w:tc>
          <w:tcPr>
            <w:tcW w:type="dxa" w:w="82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Business Strategy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pratiques), Data Analysis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2020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32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80"/>
        </w:trPr>
        <w:tc>
          <w:tcPr>
            <w:tcW w:type="dxa" w:w="3566"/>
            <w:vMerge/>
            <w:tcBorders/>
          </w:tcPr>
          <w:p/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Financial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Strategic Management (méthodes avancées, études de cas pratiques), International Business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Investment Analysis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Leadership and Ethics (méthodes avancées, études de cas pratiques), Quantitative Methods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6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6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Contributed to financial analysis for multinational clients, focusing on cash flow</w:t>
            </w:r>
          </w:p>
        </w:tc>
        <w:tc>
          <w:tcPr>
            <w:tcW w:type="dxa" w:w="20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78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management, variance analysis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Assisted in the preparation of quarterly financial reports, including variance analysis, budget </w:t>
      </w:r>
      <w:r>
        <w:rPr>
          <w:rFonts w:ascii="Times" w:hAnsi="Times" w:eastAsia="Times"/>
          <w:b w:val="0"/>
          <w:i w:val="0"/>
          <w:color w:val="000000"/>
          <w:sz w:val="19"/>
        </w:rPr>
        <w:t>forecasting</w:t>
      </w:r>
    </w:p>
    <w:p>
      <w:pPr>
        <w:autoSpaceDN w:val="0"/>
        <w:autoSpaceDE w:val="0"/>
        <w:widowControl/>
        <w:spacing w:line="252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Supported senior analysts in conducting market research and competitive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6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2" w:lineRule="exact" w:before="156" w:after="0"/>
              <w:ind w:left="282" w:right="158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Led financial modeling projects for telecom sector clients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41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Coordinated cross-functional teams to streamline financial processes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Conducted risk assessments and scenario analysis for potential mergers and acquisitions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8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2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Managed a team of 5 analysts in the execution of financial analysis and valuation projects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40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comprehensive financial models to evaluate new business opportunities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Presented financial insights to senior management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Treasurer, Florida University Finance Club (managed club finances, organized events, increased membership by </w:t>
      </w:r>
      <w:r>
        <w:rPr>
          <w:rFonts w:ascii="Times" w:hAnsi="Times" w:eastAsia="Times"/>
          <w:b w:val="0"/>
          <w:i w:val="0"/>
          <w:color w:val="000000"/>
          <w:sz w:val="19"/>
        </w:rPr>
        <w:t>20%)</w:t>
      </w:r>
    </w:p>
    <w:p>
      <w:pPr>
        <w:autoSpaceDN w:val="0"/>
        <w:autoSpaceDE w:val="0"/>
        <w:widowControl/>
        <w:spacing w:line="232" w:lineRule="exact" w:before="4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Volunteer Financial Literacy Trainer, JAAGO Foundation (conducted workshops, improved financial literacy among </w:t>
      </w:r>
      <w:r>
        <w:rPr>
          <w:rFonts w:ascii="Times" w:hAnsi="Times" w:eastAsia="Times"/>
          <w:b w:val="0"/>
          <w:i w:val="0"/>
          <w:color w:val="000000"/>
          <w:sz w:val="19"/>
        </w:rPr>
        <w:t>100+ participants)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