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6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197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 6 50 01 90 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</w:t>
            </w:r>
          </w:p>
        </w:tc>
        <w:tc>
          <w:tcPr>
            <w:tcW w:type="dxa" w:w="19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92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504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Note de mémoire: 16,2/20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Esport Business &amp; Management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Digital Marketing Strategies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Social Media Management (méthodes avancées, études de cas pratiques), Influencer Relations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Content Creation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pratiques), Performance Analysis (méthodes avancées, études de cas pratiques), Event Planning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80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58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du planning éditorial et création de contenus engageants, incluant la rédaction</w:t>
            </w:r>
          </w:p>
        </w:tc>
        <w:tc>
          <w:tcPr>
            <w:tcW w:type="dxa" w:w="16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hebdomadaire de 4 publications et l'élaboration de rapports d'activité..., avec coordination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Pilotage de campagnes de marketing d'influence : identification des influenceurs pertinents,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définition des objectifs stratégiques, rédaction des briefs, négociation des collaborations..., </w:t>
      </w:r>
      <w:r>
        <w:rPr>
          <w:rFonts w:ascii="Times" w:hAnsi="Times" w:eastAsia="Times"/>
          <w:b w:val="0"/>
          <w:i w:val="0"/>
          <w:color w:val="000000"/>
          <w:sz w:val="19"/>
        </w:rPr>
        <w:t>avec coordination d'équipes pluridisciplinaires et gestion de</w:t>
      </w:r>
    </w:p>
    <w:p>
      <w:pPr>
        <w:autoSpaceDN w:val="0"/>
        <w:autoSpaceDE w:val="0"/>
        <w:widowControl/>
        <w:spacing w:line="230" w:lineRule="exact" w:before="48" w:after="274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Animation dynamique des communautés en ligne, modération active et organisation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d'événements virtuels pour renforcer l'engagement utilisateur...,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8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34" w:after="0"/>
              <w:ind w:left="282" w:right="11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Pilotage du processus de recrutement de joueurs, incluant la recherche de talents,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l'organisation d'essais compétitifs et la conduite d'entretiens individuels..., avec coordination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et développement de trois équipes e-sportives avec un accent sur la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performance et l'atteinte des objectifs..., avec coordination d'équipes pluridisciplinaires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de réunions de performance régulières pour évaluer les progrès des équipes et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rapports détaillés..., avec coordination d'équipes pluridisciplinaires et gestion de </w:t>
      </w:r>
      <w:r>
        <w:rPr>
          <w:rFonts w:ascii="Times" w:hAnsi="Times" w:eastAsia="Times"/>
          <w:b w:val="0"/>
          <w:i w:val="0"/>
          <w:color w:val="000000"/>
          <w:sz w:val="19"/>
        </w:rPr>
        <w:t>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8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0" w:after="0"/>
              <w:ind w:left="282" w:right="100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Conception et mise en œuvre de plannings éditoriaux pour optimiser la stratégie de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communication, rédaction d'articles de blog et publications sur les réseaux sociaux..., avec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recommandations stratégiques personnalisées pour répondre aux besoins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spécifiques des clients...,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transverses, incluant analyses de données quantitatives et qualitat</w:t>
      </w:r>
    </w:p>
    <w:p>
      <w:pPr>
        <w:autoSpaceDN w:val="0"/>
        <w:autoSpaceDE w:val="0"/>
        <w:widowControl/>
        <w:spacing w:line="230" w:lineRule="exact" w:before="50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d'initiatives de prospection commerciale, à la fois en interne et auprès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nouveaux clients potentiels..., avec coordination d'équipes pluridisciplinaires et gestion de </w:t>
      </w:r>
      <w:r>
        <w:rPr>
          <w:rFonts w:ascii="Times" w:hAnsi="Times" w:eastAsia="Times"/>
          <w:b w:val="0"/>
          <w:i w:val="0"/>
          <w:color w:val="000000"/>
          <w:sz w:val="19"/>
        </w:rPr>
        <w:t>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Social Media Tools (advanced), Content Creation Software, Performance Analytics Tools, Event Planning </w:t>
      </w:r>
      <w:r>
        <w:rPr>
          <w:rFonts w:ascii="Times" w:hAnsi="Times" w:eastAsia="Times"/>
          <w:b w:val="0"/>
          <w:i w:val="0"/>
          <w:color w:val="000000"/>
          <w:sz w:val="19"/>
        </w:rPr>
        <w:t>Software, Community Management Platforms, Influencer Marketing Platforms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Bénévole Bienveillance - Purple Effect, Lyon (Promotion de la bienveillance et de l’écoute attentive en milieu festif, </w:t>
      </w:r>
      <w:r>
        <w:rPr>
          <w:rFonts w:ascii="Times" w:hAnsi="Times" w:eastAsia="Times"/>
          <w:b w:val="0"/>
          <w:i w:val="0"/>
          <w:color w:val="000000"/>
          <w:sz w:val="19"/>
        </w:rPr>
        <w:t>sensibilisation du public aux enjeux de consommation responsable)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Gaming and Esports (active participation in tournaments, strategy development)</w:t>
      </w:r>
    </w:p>
    <w:sectPr w:rsidR="00FC693F" w:rsidRPr="0006063C" w:rsidSect="00034616">
      <w:pgSz w:w="11906" w:h="16838"/>
      <w:pgMar w:top="262" w:right="594" w:bottom="6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