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19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 6 50 01 90 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19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504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264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Marketing digital (méthodes avancées, études de cas pratiques), Stratégie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contenu (méthodes avancées, études de cas pratiques), Gestion d'influence (méthodes avancées, études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de cas pratiques), Planification stratégique (méthodes avancées, études de cas pratiques), Analyse de </w:t>
      </w:r>
      <w:r>
        <w:rPr>
          <w:rFonts w:ascii="Times" w:hAnsi="Times" w:eastAsia="Times"/>
          <w:b w:val="0"/>
          <w:i w:val="0"/>
          <w:color w:val="000000"/>
          <w:sz w:val="18"/>
        </w:rPr>
        <w:t>performance (méthodes avancées, études de cas pratiques), Gestion de projet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8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2" w:after="0"/>
              <w:ind w:left="322" w:right="244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Titre RNCP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Certificat National d'Enseignement Supérieur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2"/>
        </w:trPr>
        <w:tc>
          <w:tcPr>
            <w:tcW w:type="dxa" w:w="3566"/>
            <w:vMerge/>
            <w:tcBorders/>
          </w:tcPr>
          <w:p/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Manager de la stratégie et de la performance commerciale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Stratégie commerciale (méthodes avancées, études de cas pratiques),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Performance management (méthodes avancées, études de cas pratiques), Communication marketing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Planification d'événements (méthodes avancées, études </w:t>
      </w:r>
      <w:r>
        <w:rPr>
          <w:rFonts w:ascii="Times" w:hAnsi="Times" w:eastAsia="Times"/>
          <w:b w:val="0"/>
          <w:i w:val="0"/>
          <w:color w:val="000000"/>
          <w:sz w:val="18"/>
        </w:rPr>
        <w:t>de cas pratiques), Gestion de partenariats (méthodes avancées, études de cas pratiques)</w:t>
      </w:r>
    </w:p>
    <w:p>
      <w:pPr>
        <w:autoSpaceDN w:val="0"/>
        <w:autoSpaceDE w:val="0"/>
        <w:widowControl/>
        <w:spacing w:line="304" w:lineRule="exact" w:before="30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1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78" w:after="0"/>
              <w:ind w:left="322" w:right="144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planning éditorial et création de contenus engageants</w:t>
            </w:r>
          </w:p>
        </w:tc>
        <w:tc>
          <w:tcPr>
            <w:tcW w:type="dxa" w:w="25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02"/>
        </w:trPr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Pilotage de campagnes de marketing d'influence : identification des influenceurs pertinents</w:t>
      </w:r>
    </w:p>
    <w:p>
      <w:pPr>
        <w:autoSpaceDN w:val="0"/>
        <w:autoSpaceDE w:val="0"/>
        <w:widowControl/>
        <w:spacing w:line="252" w:lineRule="exact" w:before="32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Animation dynamique des communautés en ligne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7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2" w:lineRule="exact" w:before="156" w:after="0"/>
              <w:ind w:left="32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du processus de recrutement de joueurs, incluant la recherche de talents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1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40" w:after="0"/>
        <w:ind w:left="1516" w:right="288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e-sportives avec un accent sur la </w:t>
      </w:r>
      <w:r>
        <w:rPr>
          <w:rFonts w:ascii="Times" w:hAnsi="Times" w:eastAsia="Times"/>
          <w:b w:val="0"/>
          <w:i w:val="0"/>
          <w:color w:val="000000"/>
          <w:sz w:val="19"/>
        </w:rPr>
        <w:t>performance et l'atteinte des objectifs…</w:t>
      </w:r>
    </w:p>
    <w:p>
      <w:pPr>
        <w:autoSpaceDN w:val="0"/>
        <w:autoSpaceDE w:val="0"/>
        <w:widowControl/>
        <w:spacing w:line="232" w:lineRule="exact" w:before="50" w:after="276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Conception de présentations de sponsoring attractives pour démarcher des partenaires </w:t>
      </w:r>
      <w:r>
        <w:rPr>
          <w:rFonts w:ascii="Times" w:hAnsi="Times" w:eastAsia="Times"/>
          <w:b w:val="0"/>
          <w:i w:val="0"/>
          <w:color w:val="000000"/>
          <w:sz w:val="19"/>
        </w:rPr>
        <w:t>potentiels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et mise en œuvre de plannings éditoriaux pour optimiser la stratégie de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communication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recommandations stratégiques personnalisées pour répondre aux besoins </w:t>
      </w:r>
      <w:r>
        <w:rPr>
          <w:rFonts w:ascii="Times" w:hAnsi="Times" w:eastAsia="Times"/>
          <w:b w:val="0"/>
          <w:i w:val="0"/>
          <w:color w:val="000000"/>
          <w:sz w:val="19"/>
        </w:rPr>
        <w:t>spécifiques des clients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partenariats clés avec marques et pilotes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(langue maternelle), Anglais (professionnel)</w:t>
      </w:r>
    </w:p>
    <w:p>
      <w:pPr>
        <w:autoSpaceDN w:val="0"/>
        <w:autoSpaceDE w:val="0"/>
        <w:widowControl/>
        <w:spacing w:line="220" w:lineRule="exact" w:before="64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Social Media Management, Analyse de performance, Planification éditoriale, Coordination d'équipe, Gestion de </w:t>
      </w:r>
      <w:r>
        <w:rPr>
          <w:rFonts w:ascii="Times" w:hAnsi="Times" w:eastAsia="Times"/>
          <w:b w:val="0"/>
          <w:i w:val="0"/>
          <w:color w:val="000000"/>
          <w:sz w:val="19"/>
        </w:rPr>
        <w:t>campagne d'influence, Animation de communauté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Bénévole Bienveillance - Purple Effect: Promotion de la bienveillance et de l’écoute attentive en milieu festif,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situations sensibles...</w:t>
      </w:r>
    </w:p>
    <w:p>
      <w:pPr>
        <w:autoSpaceDN w:val="0"/>
        <w:autoSpaceDE w:val="0"/>
        <w:widowControl/>
        <w:spacing w:line="232" w:lineRule="exact" w:before="48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Sensibilisation du public aux enjeux de consommation responsable, de consentement et de respect mutuel, </w:t>
      </w:r>
      <w:r>
        <w:rPr>
          <w:rFonts w:ascii="Times" w:hAnsi="Times" w:eastAsia="Times"/>
          <w:b w:val="0"/>
          <w:i w:val="0"/>
          <w:color w:val="000000"/>
          <w:sz w:val="19"/>
        </w:rPr>
        <w:t>participation à la conception d'actions de communication...</w:t>
      </w:r>
    </w:p>
    <w:sectPr w:rsidR="00FC693F" w:rsidRPr="0006063C" w:rsidSect="00034616">
      <w:pgSz w:w="11906" w:h="16838"/>
      <w:pgMar w:top="262" w:right="594" w:bottom="111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