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2016</w:t>
            </w:r>
          </w:p>
        </w:tc>
        <w:tc>
          <w:tcPr>
            <w:tcW w:type="dxa" w:w="82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(advanced methods, practical case studies), Financial Markets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(advanced methods, practical case studies), Econometrics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Statistics (advanced methods, practical case studies), Business Strategy (advanced methods, practical </w:t>
      </w:r>
      <w:r>
        <w:rPr>
          <w:rFonts w:ascii="Times" w:hAnsi="Times" w:eastAsia="Times"/>
          <w:b w:val="0"/>
          <w:i w:val="0"/>
          <w:color w:val="000000"/>
          <w:sz w:val="18"/>
        </w:rPr>
        <w:t>case studies), Data Analysis (advanced methods, practical case studies)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32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(advanced methods, practical case studies), International Business (advanced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methods, practical case studies), Investment Analysis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Leadership and Ethics (advanced methods, practical case studies), Quantitative Methods (advanced </w:t>
      </w:r>
      <w:r>
        <w:rPr>
          <w:rFonts w:ascii="Times" w:hAnsi="Times" w:eastAsia="Times"/>
          <w:b w:val="0"/>
          <w:i w:val="0"/>
          <w:color w:val="000000"/>
          <w:sz w:val="18"/>
        </w:rPr>
        <w:t>methods, practical case studies)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6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financial analysis for multinational clients, focusing on cash flow</w:t>
            </w:r>
          </w:p>
        </w:tc>
        <w:tc>
          <w:tcPr>
            <w:tcW w:type="dxa" w:w="20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8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management, variance analysis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the preparation of quarterly financial reports, including detailed variance </w:t>
      </w:r>
      <w:r>
        <w:rPr>
          <w:rFonts w:ascii="Times" w:hAnsi="Times" w:eastAsia="Times"/>
          <w:b w:val="0"/>
          <w:i w:val="0"/>
          <w:color w:val="000000"/>
          <w:sz w:val="19"/>
        </w:rPr>
        <w:t>analysis, budget forecasting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Supported senior analysts in conducting market research and competitive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156" w:after="0"/>
              <w:ind w:left="282" w:right="158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modeling projects for telecom sector clients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cross-functional teams to streamline financial processes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Conducted risk assessments and scenario analysis for potential mergers and acquisitions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a team of 5 analysts in the execution of financial analysis and valuation projects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5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comprehensive financial models to evaluate new business opportunities, </w:t>
      </w:r>
      <w:r>
        <w:rPr>
          <w:rFonts w:ascii="Times" w:hAnsi="Times" w:eastAsia="Times"/>
          <w:b w:val="0"/>
          <w:i w:val="0"/>
          <w:color w:val="000000"/>
          <w:sz w:val="19"/>
        </w:rPr>
        <w:t>incorporating market trends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Presented financial insights to senior management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Treasurer, Florida University Finance Club (managed club finances, organized events, increased membership by </w:t>
      </w:r>
      <w:r>
        <w:rPr>
          <w:rFonts w:ascii="Times" w:hAnsi="Times" w:eastAsia="Times"/>
          <w:b w:val="0"/>
          <w:i w:val="0"/>
          <w:color w:val="000000"/>
          <w:sz w:val="19"/>
        </w:rPr>
        <w:t>20%)</w:t>
      </w:r>
    </w:p>
    <w:p>
      <w:pPr>
        <w:autoSpaceDN w:val="0"/>
        <w:autoSpaceDE w:val="0"/>
        <w:widowControl/>
        <w:spacing w:line="232" w:lineRule="exact" w:before="4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workshops, improved financial literacy among </w:t>
      </w:r>
      <w:r>
        <w:rPr>
          <w:rFonts w:ascii="Times" w:hAnsi="Times" w:eastAsia="Times"/>
          <w:b w:val="0"/>
          <w:i w:val="0"/>
          <w:color w:val="000000"/>
          <w:sz w:val="19"/>
        </w:rPr>
        <w:t>100+ participants)</w:t>
      </w:r>
    </w:p>
    <w:sectPr w:rsidR="00FC693F" w:rsidRPr="0006063C" w:rsidSect="00034616">
      <w:pgSz w:w="11906" w:h="16838"/>
      <w:pgMar w:top="262" w:right="594" w:bottom="13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