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2016</w:t>
            </w:r>
          </w:p>
        </w:tc>
        <w:tc>
          <w:tcPr>
            <w:tcW w:type="dxa" w:w="82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Business Strategy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pratiques), Data Analysis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2020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32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80"/>
        </w:trPr>
        <w:tc>
          <w:tcPr>
            <w:tcW w:type="dxa" w:w="3566"/>
            <w:vMerge/>
            <w:tcBorders/>
          </w:tcPr>
          <w:p/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Financial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Strategic Management (méthodes avancées, études de cas pratiques), International Business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Investment Analysis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Leadership and Ethics (méthodes avancées, études de cas pratiques), Quantitative Methods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0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78" w:after="0"/>
              <w:ind w:left="282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Réalisation d'analyses financières pour des clients multinationaux</w:t>
            </w:r>
          </w:p>
        </w:tc>
        <w:tc>
          <w:tcPr>
            <w:tcW w:type="dxa" w:w="26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404"/>
        </w:trPr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8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Participation à la préparation de rapports financiers trimestriels, y compris l'analyse des</w:t>
      </w:r>
      <w:r>
        <w:rPr>
          <w:rFonts w:ascii="Times" w:hAnsi="Times" w:eastAsia="Times"/>
          <w:b w:val="0"/>
          <w:i w:val="0"/>
          <w:color w:val="000000"/>
          <w:sz w:val="19"/>
        </w:rPr>
        <w:t>écarts</w:t>
      </w:r>
    </w:p>
    <w:p>
      <w:pPr>
        <w:autoSpaceDN w:val="0"/>
        <w:autoSpaceDE w:val="0"/>
        <w:widowControl/>
        <w:spacing w:line="232" w:lineRule="exact" w:before="48" w:after="276"/>
        <w:ind w:left="1516" w:right="288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Soutien aux analystes seniors dans la conduite d'études de marché et d'analyses </w:t>
      </w:r>
      <w:r>
        <w:rPr>
          <w:rFonts w:ascii="Times" w:hAnsi="Times" w:eastAsia="Times"/>
          <w:b w:val="0"/>
          <w:i w:val="0"/>
          <w:color w:val="000000"/>
          <w:sz w:val="19"/>
        </w:rPr>
        <w:t>concurrentielles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7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2" w:lineRule="exact" w:before="138" w:after="0"/>
              <w:ind w:left="28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de projets de modélisation financière pour des clients du secteur des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3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566"/>
            <w:vMerge/>
            <w:tcBorders/>
          </w:tcPr>
          <w:p/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télécommunications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8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Coordination d'équipes interfonctionnelles pour rationaliser les processus financiers, </w:t>
      </w:r>
      <w:r>
        <w:rPr>
          <w:rFonts w:ascii="Times" w:hAnsi="Times" w:eastAsia="Times"/>
          <w:b w:val="0"/>
          <w:i w:val="0"/>
          <w:color w:val="000000"/>
          <w:sz w:val="19"/>
        </w:rPr>
        <w:t>améliorer l'efficacité</w:t>
      </w:r>
    </w:p>
    <w:p>
      <w:pPr>
        <w:autoSpaceDN w:val="0"/>
        <w:autoSpaceDE w:val="0"/>
        <w:widowControl/>
        <w:spacing w:line="232" w:lineRule="exact" w:before="50" w:after="276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Conduite d'évaluations des risques et d'analyses de scénarios pour des fusions et acquisitions </w:t>
      </w:r>
      <w:r>
        <w:rPr>
          <w:rFonts w:ascii="Times" w:hAnsi="Times" w:eastAsia="Times"/>
          <w:b w:val="0"/>
          <w:i w:val="0"/>
          <w:color w:val="000000"/>
          <w:sz w:val="19"/>
        </w:rPr>
        <w:t>potentielles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8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36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d'une équipe de 5 analystes dans l'exécution de projets d'analyse financière et de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3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valorisation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de modèles financiers complets pour évaluer de nouvelles opportunités </w:t>
      </w:r>
      <w:r>
        <w:rPr>
          <w:rFonts w:ascii="Times" w:hAnsi="Times" w:eastAsia="Times"/>
          <w:b w:val="0"/>
          <w:i w:val="0"/>
          <w:color w:val="000000"/>
          <w:sz w:val="19"/>
        </w:rPr>
        <w:t>commerciales</w:t>
      </w:r>
    </w:p>
    <w:p>
      <w:pPr>
        <w:autoSpaceDN w:val="0"/>
        <w:autoSpaceDE w:val="0"/>
        <w:widowControl/>
        <w:spacing w:line="232" w:lineRule="exact" w:before="48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Présentation d'informations financières aux cadres supérieurs, avec recommandations </w:t>
      </w:r>
      <w:r>
        <w:rPr>
          <w:rFonts w:ascii="Times" w:hAnsi="Times" w:eastAsia="Times"/>
          <w:b w:val="0"/>
          <w:i w:val="0"/>
          <w:color w:val="000000"/>
          <w:sz w:val="19"/>
        </w:rPr>
        <w:t>stratégiques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Trésorier, Florida University Finance Club (gestion des finances du club, organisation d'événements, augmentation </w:t>
      </w:r>
      <w:r>
        <w:rPr>
          <w:rFonts w:ascii="Times" w:hAnsi="Times" w:eastAsia="Times"/>
          <w:b w:val="0"/>
          <w:i w:val="0"/>
          <w:color w:val="000000"/>
          <w:sz w:val="19"/>
        </w:rPr>
        <w:t>de l'adhésion de 20%)</w:t>
      </w:r>
    </w:p>
    <w:p>
      <w:pPr>
        <w:autoSpaceDN w:val="0"/>
        <w:autoSpaceDE w:val="0"/>
        <w:widowControl/>
        <w:spacing w:line="232" w:lineRule="exact" w:before="48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Formateur bénévole en littératie financière, JAAGO Foundation (animation d'ateliers, amélioration de la littératie </w:t>
      </w:r>
      <w:r>
        <w:rPr>
          <w:rFonts w:ascii="Times" w:hAnsi="Times" w:eastAsia="Times"/>
          <w:b w:val="0"/>
          <w:i w:val="0"/>
          <w:color w:val="000000"/>
          <w:sz w:val="19"/>
        </w:rPr>
        <w:t>financière de 100+ participants)</w:t>
      </w:r>
    </w:p>
    <w:sectPr w:rsidR="00FC693F" w:rsidRPr="0006063C" w:rsidSect="00034616">
      <w:pgSz w:w="11906" w:h="16838"/>
      <w:pgMar w:top="262" w:right="594" w:bottom="77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