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APIs using Python and FastAPI for scalable web applications,</w:t>
            </w:r>
          </w:p>
        </w:tc>
        <w:tc>
          <w:tcPr>
            <w:tcW w:type="dxa" w:w="17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data processing efficiency and integration capabilities, with cross-functional team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and 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intervention by 40%, ensuring seamless software delivery, with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cross-functional team coordination and project management...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complex database queries, achieving a 30% reduction in load time, significantly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improving application performance and user experience, with cross-functional team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coordination and project management...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coding standards, project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and collaborative problem-solving...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Participated in local hackathons, showcasing innovative solutions in software development and teamwork...</w:t>
      </w:r>
    </w:p>
    <w:p>
      <w:pPr>
        <w:autoSpaceDN w:val="0"/>
        <w:autoSpaceDE w:val="0"/>
        <w:widowControl/>
        <w:spacing w:line="230" w:lineRule="exact" w:before="56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Active member of a tech community, organizing workshops and seminars on emerging technologies and industry </w:t>
      </w:r>
      <w:r>
        <w:rPr>
          <w:rFonts w:ascii="Times" w:hAnsi="Times" w:eastAsia="Times"/>
          <w:b w:val="0"/>
          <w:i w:val="0"/>
          <w:color w:val="000000"/>
          <w:sz w:val="19"/>
        </w:rPr>
        <w:t>trends...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