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04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de communication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>Gestion de projet (méthodes avancées, études de cas pratiques), Marketing digital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Économie de l'esport (méthodes avancées, études de cas pratiques), Gestion </w:t>
      </w:r>
      <w:r>
        <w:rPr>
          <w:rFonts w:ascii="Times" w:hAnsi="Times" w:eastAsia="Times"/>
          <w:b w:val="0"/>
          <w:i w:val="0"/>
          <w:color w:val="000000"/>
          <w:sz w:val="18"/>
        </w:rPr>
        <w:t>d'influence (méthodes avancées, études de cas pratiques), Planification éditoriale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0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engageants, incluant la rédaction</w:t>
            </w:r>
          </w:p>
        </w:tc>
        <w:tc>
          <w:tcPr>
            <w:tcW w:type="dxa" w:w="16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hebdomadaire de 4 publications et l'élaboration de rapports d'activité...,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Pilotage de campagnes de marketing d'influence : identification des influenceurs pertinents,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définition des objectifs stratégiques, rédaction des briefs, négociation des collaborations...,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Animation dynamique des communautés en ligne, modération active et organisation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d'événements virtuels pour renforcer l'engagement utilisateur...,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l'organisation d'essais compétitifs et la conduite d'entretiens individuels...,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 et l'atteinte des objectifs, coordination de réunions de performance...,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de présentations de sponsoring attractives pour démarcher des partenaires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potentiels, sécuriser des financements et prospection active de partenariats stratégiques...,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communication, rédaction d'articles de blog et des publications sur les réseaux sociaux...,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spécifiques des clients, développement d'initiatives de prospection commerciale...,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0" w:lineRule="exact" w:before="5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 partenariats clés avec marques et pilotes, et coordination de l’intégration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contenus in-game (cartes de pilotes, modèles de voitures, assets brandés)...,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Excel, PowerPoint, Photoshop, Tableau, Alteryx (basics), Python (basics), SQL, R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- Purple Effect, Lyon: Promotion de la bienveillance et de l’écoute attentive en milieu festif,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des situations sensibles...</w:t>
      </w:r>
    </w:p>
    <w:p>
      <w:pPr>
        <w:autoSpaceDN w:val="0"/>
        <w:autoSpaceDE w:val="0"/>
        <w:widowControl/>
        <w:spacing w:line="232" w:lineRule="exact" w:before="5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Gaming et Esport: Participation active à des tournois et événements, analyse des tendances du secteur, engagement </w:t>
      </w:r>
      <w:r>
        <w:rPr>
          <w:rFonts w:ascii="Times" w:hAnsi="Times" w:eastAsia="Times"/>
          <w:b w:val="0"/>
          <w:i w:val="0"/>
          <w:color w:val="000000"/>
          <w:sz w:val="19"/>
        </w:rPr>
        <w:t>communautaire...</w:t>
      </w:r>
    </w:p>
    <w:sectPr w:rsidR="00FC693F" w:rsidRPr="0006063C" w:rsidSect="00034616">
      <w:pgSz w:w="11906" w:h="16838"/>
      <w:pgMar w:top="262" w:right="594" w:bottom="496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