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7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36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Gautier Rouas</w:t>
            </w:r>
          </w:p>
        </w:tc>
        <w:tc>
          <w:tcPr>
            <w:tcW w:type="dxa" w:w="197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77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Versailles, France • +33 6 50 01 90 62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rouas.gautier@gmail.com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7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9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2</w:t>
            </w:r>
          </w:p>
        </w:tc>
        <w:tc>
          <w:tcPr>
            <w:tcW w:type="dxa" w:w="19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492"/>
        </w:trPr>
        <w:tc>
          <w:tcPr>
            <w:tcW w:type="dxa" w:w="87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504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Note de mémoire: 16,2/20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Esport Business &amp; Management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8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Marketing Digital (stratégies avancées)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pratiques), Gestion de Projet (méthodologies agiles), Économie de l'Esport (méthodes avancées, études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de cas pratiques), Stratégie de Communication (méthodes avancées, études de cas pratiques), Analyse </w:t>
      </w:r>
      <w:r>
        <w:rPr>
          <w:rFonts w:ascii="Times" w:hAnsi="Times" w:eastAsia="Times"/>
          <w:b w:val="0"/>
          <w:i w:val="0"/>
          <w:color w:val="000000"/>
          <w:sz w:val="18"/>
        </w:rPr>
        <w:t>de Données (outils statistiques), Management d'Équipe (méthodes avancées, études de cas 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4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8" w:after="0"/>
              <w:ind w:left="322" w:right="244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Titre RNCP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Certificat National d'Enseignement Supérieur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276"/>
        </w:trPr>
        <w:tc>
          <w:tcPr>
            <w:tcW w:type="dxa" w:w="3566"/>
            <w:vMerge/>
            <w:tcBorders/>
          </w:tcPr>
          <w:p/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" w:after="0"/>
              <w:ind w:left="3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Manager de la stratégie et de la performance commerciale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Stratégie Commerciale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Performance Management (méthodes avancées, études de cas pratiques), Leadership et Gestion </w:t>
      </w:r>
      <w:r>
        <w:rPr>
          <w:rFonts w:ascii="Times" w:hAnsi="Times" w:eastAsia="Times"/>
          <w:b w:val="0"/>
          <w:i w:val="0"/>
          <w:color w:val="000000"/>
          <w:sz w:val="18"/>
        </w:rPr>
        <w:t>d'Équipe (méthodes avancées, études de cas pratiques), Planification Stratégique (méthodes avancées,</w:t>
      </w:r>
      <w:r>
        <w:rPr>
          <w:rFonts w:ascii="Times" w:hAnsi="Times" w:eastAsia="Times"/>
          <w:b w:val="0"/>
          <w:i w:val="0"/>
          <w:color w:val="000000"/>
          <w:sz w:val="18"/>
        </w:rPr>
        <w:t>études de cas pratiques), Communication Efficace (méthodes avancées, études de cas pratiques)</w:t>
      </w:r>
    </w:p>
    <w:p>
      <w:pPr>
        <w:autoSpaceDN w:val="0"/>
        <w:autoSpaceDE w:val="0"/>
        <w:widowControl/>
        <w:spacing w:line="304" w:lineRule="exact" w:before="30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71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378" w:after="0"/>
              <w:ind w:left="322" w:right="144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Communication &amp; Marketing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du planning éditorial et création de contenus engageants</w:t>
            </w:r>
          </w:p>
        </w:tc>
        <w:tc>
          <w:tcPr>
            <w:tcW w:type="dxa" w:w="25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404"/>
        </w:trPr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4" w:lineRule="exact" w:before="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Pilotage de campagnes de marketing d'influence : identification des influenceurs pertinents</w:t>
      </w:r>
    </w:p>
    <w:p>
      <w:pPr>
        <w:autoSpaceDN w:val="0"/>
        <w:autoSpaceDE w:val="0"/>
        <w:widowControl/>
        <w:spacing w:line="252" w:lineRule="exact" w:before="32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Animation dynamique des communautés en ligne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7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56" w:after="0"/>
              <w:ind w:left="322" w:right="86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Global Esport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Pilotage du processus de recrutement de joueurs, incluant la recherche de talents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9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40" w:after="0"/>
        <w:ind w:left="1516" w:right="288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Supervision et développement de trois équipes e-sportives avec un accent sur la </w:t>
      </w:r>
      <w:r>
        <w:rPr>
          <w:rFonts w:ascii="Times" w:hAnsi="Times" w:eastAsia="Times"/>
          <w:b w:val="0"/>
          <w:i w:val="0"/>
          <w:color w:val="000000"/>
          <w:sz w:val="19"/>
        </w:rPr>
        <w:t>performance et l'atteinte des objectifs.</w:t>
      </w:r>
    </w:p>
    <w:p>
      <w:pPr>
        <w:autoSpaceDN w:val="0"/>
        <w:autoSpaceDE w:val="0"/>
        <w:widowControl/>
        <w:spacing w:line="232" w:lineRule="exact" w:before="50" w:after="276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Conception de présentations de sponsoring attractives pour démarcher des partenaires </w:t>
      </w:r>
      <w:r>
        <w:rPr>
          <w:rFonts w:ascii="Times" w:hAnsi="Times" w:eastAsia="Times"/>
          <w:b w:val="0"/>
          <w:i w:val="0"/>
          <w:color w:val="000000"/>
          <w:sz w:val="19"/>
        </w:rPr>
        <w:t>potentiels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7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40" w:after="0"/>
              <w:ind w:left="32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Chef de Projet Communication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Conception et mise en œuvre de plannings éditoriaux pour optimiser la stratégie de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38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communication...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Rédaction d'articles de blog et des publications sur les réseaux sociaux...</w:t>
      </w:r>
    </w:p>
    <w:p>
      <w:pPr>
        <w:autoSpaceDN w:val="0"/>
        <w:autoSpaceDE w:val="0"/>
        <w:widowControl/>
        <w:spacing w:line="232" w:lineRule="exact" w:before="52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Élaboration de recommandations stratégiques personnalisées pour répondre aux besoins </w:t>
      </w:r>
      <w:r>
        <w:rPr>
          <w:rFonts w:ascii="Times" w:hAnsi="Times" w:eastAsia="Times"/>
          <w:b w:val="0"/>
          <w:i w:val="0"/>
          <w:color w:val="000000"/>
          <w:sz w:val="19"/>
        </w:rPr>
        <w:t>spécifiques des clients...</w:t>
      </w:r>
    </w:p>
    <w:p>
      <w:pPr>
        <w:autoSpaceDN w:val="0"/>
        <w:autoSpaceDE w:val="0"/>
        <w:widowControl/>
        <w:spacing w:line="304" w:lineRule="exact" w:before="3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French (native), English (professional)</w:t>
      </w:r>
    </w:p>
    <w:p>
      <w:pPr>
        <w:autoSpaceDN w:val="0"/>
        <w:autoSpaceDE w:val="0"/>
        <w:widowControl/>
        <w:spacing w:line="220" w:lineRule="exact" w:before="64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Social Media Management Tools, Adobe Creative Suite (basics), Google Analytics (advanced), Hootsuite, </w:t>
      </w:r>
      <w:r>
        <w:rPr>
          <w:rFonts w:ascii="Times" w:hAnsi="Times" w:eastAsia="Times"/>
          <w:b w:val="0"/>
          <w:i w:val="0"/>
          <w:color w:val="000000"/>
          <w:sz w:val="19"/>
        </w:rPr>
        <w:t>Buffer, Excel, PowerPoint</w:t>
      </w:r>
    </w:p>
    <w:p>
      <w:pPr>
        <w:autoSpaceDN w:val="0"/>
        <w:autoSpaceDE w:val="0"/>
        <w:widowControl/>
        <w:spacing w:line="306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4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Bénévole Bienveillance - Purple Effect (promotion de la bienveillance, gestion de situations sensibles)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Esport Enthusiast (participation à des événements compétitifs)</w:t>
      </w:r>
    </w:p>
    <w:p>
      <w:pPr>
        <w:autoSpaceDN w:val="0"/>
        <w:autoSpaceDE w:val="0"/>
        <w:widowControl/>
        <w:spacing w:line="254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Content Creation (vidéos, articles)</w:t>
      </w:r>
    </w:p>
    <w:sectPr w:rsidR="00FC693F" w:rsidRPr="0006063C" w:rsidSect="00034616">
      <w:pgSz w:w="11906" w:h="16838"/>
      <w:pgMar w:top="262" w:right="594" w:bottom="1312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