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36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Gautier Rouas</w:t>
            </w:r>
          </w:p>
        </w:tc>
        <w:tc>
          <w:tcPr>
            <w:tcW w:type="dxa" w:w="197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Versailles, France • +33 6 50 01 90 62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rouas.gautier@gmail.com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38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2 Esport Business &amp; Management</w:t>
            </w:r>
          </w:p>
        </w:tc>
        <w:tc>
          <w:tcPr>
            <w:tcW w:type="dxa" w:w="19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6"/>
        </w:trPr>
        <w:tc>
          <w:tcPr>
            <w:tcW w:type="dxa" w:w="87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Note de mémoire: 16,2/20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Stratégie de marketing digital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Gestion d'influence (méthodes avancées, études de cas pratiques), Création de contenus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Analyse de performance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pratiques), Planification éditoriale (méthodes avancées, études de cas pratiques), Coordination d'équipe </w:t>
      </w:r>
      <w:r>
        <w:rPr>
          <w:rFonts w:ascii="Times" w:hAnsi="Times" w:eastAsia="Times"/>
          <w:b w:val="0"/>
          <w:i w:val="0"/>
          <w:color w:val="000000"/>
          <w:sz w:val="18"/>
        </w:rPr>
        <w:t>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1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2" w:lineRule="exact" w:before="380" w:after="0"/>
              <w:ind w:left="322" w:right="144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Communication &amp; Marketing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du planning éditorial et création de contenus engageants</w:t>
            </w:r>
          </w:p>
        </w:tc>
        <w:tc>
          <w:tcPr>
            <w:tcW w:type="dxa" w:w="25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00"/>
        </w:trPr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2" w:lineRule="exact" w:before="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Pilotage de campagnes de marketing d'influence : identification des influenceurs pertinents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Animation dynamique des communautés en ligne</w:t>
      </w:r>
    </w:p>
    <w:p>
      <w:pPr>
        <w:autoSpaceDN w:val="0"/>
        <w:autoSpaceDE w:val="0"/>
        <w:widowControl/>
        <w:spacing w:line="254" w:lineRule="exact" w:before="30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partenariats clés avec marques et pilotes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7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52" w:after="0"/>
              <w:ind w:left="32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Global Esport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Pilotage du processus de recrutement de joueurs, incluant la recherche de talents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9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88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et développement de trois équipes e-sportives avec un accent sur la </w:t>
      </w:r>
      <w:r>
        <w:rPr>
          <w:rFonts w:ascii="Times" w:hAnsi="Times" w:eastAsia="Times"/>
          <w:b w:val="0"/>
          <w:i w:val="0"/>
          <w:color w:val="000000"/>
          <w:sz w:val="19"/>
        </w:rPr>
        <w:t>performance et l'atteinte des objectifs.</w:t>
      </w:r>
    </w:p>
    <w:p>
      <w:pPr>
        <w:autoSpaceDN w:val="0"/>
        <w:autoSpaceDE w:val="0"/>
        <w:widowControl/>
        <w:spacing w:line="232" w:lineRule="exact" w:before="48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de réunions de performance régulières pour évaluer les progrès des équipes et</w:t>
      </w:r>
      <w:r>
        <w:rPr>
          <w:rFonts w:ascii="Times" w:hAnsi="Times" w:eastAsia="Times"/>
          <w:b w:val="0"/>
          <w:i w:val="0"/>
          <w:color w:val="000000"/>
          <w:sz w:val="19"/>
        </w:rPr>
        <w:t>élaboration de rapports détai…</w:t>
      </w:r>
    </w:p>
    <w:p>
      <w:pPr>
        <w:autoSpaceDN w:val="0"/>
        <w:autoSpaceDE w:val="0"/>
        <w:widowControl/>
        <w:spacing w:line="230" w:lineRule="exact" w:before="52" w:after="278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Conception de présentations de sponsoring attractives pour démarcher des partenaires </w:t>
      </w:r>
      <w:r>
        <w:rPr>
          <w:rFonts w:ascii="Times" w:hAnsi="Times" w:eastAsia="Times"/>
          <w:b w:val="0"/>
          <w:i w:val="0"/>
          <w:color w:val="000000"/>
          <w:sz w:val="19"/>
        </w:rPr>
        <w:t>potentiels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7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Chef de Projet Communication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Conception et mise en œuvre de plannings éditoriaux pour optimiser la stratégie de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2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communication...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Rédaction d'articles de blog et des publications sur les réseaux sociaux...</w:t>
      </w:r>
    </w:p>
    <w:p>
      <w:pPr>
        <w:autoSpaceDN w:val="0"/>
        <w:autoSpaceDE w:val="0"/>
        <w:widowControl/>
        <w:spacing w:line="232" w:lineRule="exact" w:before="52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Élaboration de recommandations stratégiques personnalisées pour répondre aux besoins </w:t>
      </w:r>
      <w:r>
        <w:rPr>
          <w:rFonts w:ascii="Times" w:hAnsi="Times" w:eastAsia="Times"/>
          <w:b w:val="0"/>
          <w:i w:val="0"/>
          <w:color w:val="000000"/>
          <w:sz w:val="19"/>
        </w:rPr>
        <w:t>spécifiques des clients...</w:t>
      </w:r>
    </w:p>
    <w:p>
      <w:pPr>
        <w:autoSpaceDN w:val="0"/>
        <w:autoSpaceDE w:val="0"/>
        <w:widowControl/>
        <w:spacing w:line="230" w:lineRule="exact" w:before="52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Développement d'initiatives de prospection commerciale, à la fois en interne et auprès de </w:t>
      </w:r>
      <w:r>
        <w:rPr>
          <w:rFonts w:ascii="Times" w:hAnsi="Times" w:eastAsia="Times"/>
          <w:b w:val="0"/>
          <w:i w:val="0"/>
          <w:color w:val="000000"/>
          <w:sz w:val="19"/>
        </w:rPr>
        <w:t>nouveaux clients potentiels...</w:t>
      </w:r>
    </w:p>
    <w:p>
      <w:pPr>
        <w:autoSpaceDN w:val="0"/>
        <w:autoSpaceDE w:val="0"/>
        <w:widowControl/>
        <w:spacing w:line="304" w:lineRule="exact" w:before="3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Français (langue maternelle), Anglais (professionnel)</w:t>
      </w:r>
    </w:p>
    <w:p>
      <w:pPr>
        <w:autoSpaceDN w:val="0"/>
        <w:autoSpaceDE w:val="0"/>
        <w:widowControl/>
        <w:spacing w:line="220" w:lineRule="exact" w:before="66" w:after="0"/>
        <w:ind w:left="1516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Gestion de campagne d'influence, Planification d'événement, Animation de communauté, Social Media </w:t>
      </w:r>
      <w:r>
        <w:rPr>
          <w:rFonts w:ascii="Times" w:hAnsi="Times" w:eastAsia="Times"/>
          <w:b w:val="0"/>
          <w:i w:val="0"/>
          <w:color w:val="000000"/>
          <w:sz w:val="19"/>
        </w:rPr>
        <w:t>Management, Analyse de performance, Planification éditoriale, Coordination d'équipe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Bénévole Bienveillance chez Purple Effect (promotion de la bienveillance, gestion des situations sensibles, </w:t>
      </w:r>
      <w:r>
        <w:rPr>
          <w:rFonts w:ascii="Times" w:hAnsi="Times" w:eastAsia="Times"/>
          <w:b w:val="0"/>
          <w:i w:val="0"/>
          <w:color w:val="000000"/>
          <w:sz w:val="19"/>
        </w:rPr>
        <w:t>sensibilisation à la consommation responsable)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Passion pour le gaming et l'esport (participation à des compétitions, analyse de stratégies de jeu)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