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434"/>
        </w:trPr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22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Ut dolores nemo debi Autem magnam ut cupi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4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0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Fugiat culpa esse l • 48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cirapupy@mailinator.com</w:t>
                </w:r>
              </w:hyperlink>
            </w:r>
          </w:p>
        </w:tc>
        <w:tc>
          <w:tcPr>
            <w:tcW w:type="dxa" w:w="356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924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4" w:after="0"/>
              <w:ind w:left="1288" w:right="60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Anim voluptas ut ess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Sit qui soluta dolo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Repudiandae sed ipsa</w:t>
            </w:r>
          </w:p>
        </w:tc>
        <w:tc>
          <w:tcPr>
            <w:tcW w:type="dxa" w:w="14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</w:tbl>
    <w:p>
      <w:pPr>
        <w:autoSpaceDN w:val="0"/>
        <w:autoSpaceDE w:val="0"/>
        <w:widowControl/>
        <w:spacing w:line="218" w:lineRule="exact" w:before="24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Economy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pratiques), Statistics (méthodes avancées, études de cas pratiques), Econometrics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pratiques), Data Modeling (méthodes avancées, études de cas pratiques)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 2026</w:t>
            </w:r>
          </w:p>
        </w:tc>
        <w:tc>
          <w:tcPr>
            <w:tcW w:type="dxa" w:w="84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8" w:after="0"/>
              <w:ind w:left="288" w:right="64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Quis quod cillum ita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Eligendi eiusmod eni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Optimisation des processus internes pour améliorer l'efficacité opérationnelle avec des outils</w:t>
            </w:r>
          </w:p>
        </w:tc>
        <w:tc>
          <w:tcPr>
            <w:tcW w:type="dxa" w:w="12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  <w:tr>
        <w:trPr>
          <w:trHeight w:hRule="exact" w:val="378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day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d'analyse avancée, gestion des flux de travail, et suivi des performances...,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rapports détaillés sur les indicateurs clés de performance (KPI) pour le suivi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des objectifs stratégiques, incluant l'utilisation de tableaux de bord et de visualisation de </w:t>
      </w:r>
      <w:r>
        <w:rPr>
          <w:rFonts w:ascii="Times" w:hAnsi="Times" w:eastAsia="Times"/>
          <w:b w:val="0"/>
          <w:i w:val="0"/>
          <w:color w:val="000000"/>
          <w:sz w:val="19"/>
        </w:rPr>
        <w:t>données..., avec coordination d'équipes pluridisciplinaires et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Rerum inventore itaq (Deserunt nihil aliqu)</w:t>
      </w:r>
    </w:p>
    <w:p>
      <w:pPr>
        <w:autoSpaceDN w:val="0"/>
        <w:autoSpaceDE w:val="0"/>
        <w:widowControl/>
        <w:spacing w:line="220" w:lineRule="exact" w:before="64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Incidunt ex fugit (Quo rerum non pariat), Quo voluptates ratio (Quas nostrud praesen), Excel (advanced), </w:t>
      </w:r>
      <w:r>
        <w:rPr>
          <w:rFonts w:ascii="Times" w:hAnsi="Times" w:eastAsia="Times"/>
          <w:b w:val="0"/>
          <w:i w:val="0"/>
          <w:color w:val="000000"/>
          <w:sz w:val="19"/>
        </w:rPr>
        <w:t>PowerPoint (advanced), Python (basics), Tableau (basics), SQL (intermediate)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projets de développement communautaire avec planification stratégique, coordination d'équipes,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des ressources...</w:t>
      </w:r>
    </w:p>
    <w:p>
      <w:pPr>
        <w:autoSpaceDN w:val="0"/>
        <w:autoSpaceDE w:val="0"/>
        <w:widowControl/>
        <w:spacing w:line="232" w:lineRule="exact" w:before="48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Engagement dans des initiatives de durabilité environnementale avec analyse d'impact, sensibilisation, et mise en</w:t>
      </w:r>
      <w:r>
        <w:rPr>
          <w:rFonts w:ascii="Times" w:hAnsi="Times" w:eastAsia="Times"/>
          <w:b w:val="0"/>
          <w:i w:val="0"/>
          <w:color w:val="000000"/>
          <w:sz w:val="19"/>
        </w:rPr>
        <w:t>œuvre de pratiques écologiques...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irapupy@mailina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