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434"/>
        </w:trPr>
        <w:tc>
          <w:tcPr>
            <w:tcW w:type="dxa" w:w="9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223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Ut dolores nemo debi Autem magnam ut cupi</w:t>
            </w:r>
          </w:p>
        </w:tc>
        <w:tc>
          <w:tcPr>
            <w:tcW w:type="dxa" w:w="16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4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0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Fugiat culpa esse l • +48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cirapupy@mailinator.com</w:t>
                </w:r>
              </w:hyperlink>
            </w:r>
          </w:p>
        </w:tc>
        <w:tc>
          <w:tcPr>
            <w:tcW w:type="dxa" w:w="356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074"/>
        </w:trPr>
        <w:tc>
          <w:tcPr>
            <w:tcW w:type="dxa" w:w="902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4" w:after="0"/>
              <w:ind w:left="1288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Anim voluptas ut ess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Sit qui soluta dolo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Repudiandae sed ipsa</w:t>
            </w:r>
          </w:p>
        </w:tc>
        <w:tc>
          <w:tcPr>
            <w:tcW w:type="dxa" w:w="16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Chicago, USA</w:t>
            </w:r>
          </w:p>
        </w:tc>
      </w:tr>
    </w:tbl>
    <w:p>
      <w:pPr>
        <w:autoSpaceDN w:val="0"/>
        <w:autoSpaceDE w:val="0"/>
        <w:widowControl/>
        <w:spacing w:line="218" w:lineRule="exact" w:before="24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Data Modeling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Contract Law (méthodes avancées, études de cas pratiques)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9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Mar 2026</w:t>
            </w:r>
          </w:p>
        </w:tc>
        <w:tc>
          <w:tcPr>
            <w:tcW w:type="dxa" w:w="81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8" w:after="0"/>
              <w:ind w:left="288" w:right="44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Quis quod cillum ita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Eligendi eiusmod eni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market analysis for a leading firm in Chicago, utilizing advanced</w:t>
            </w:r>
          </w:p>
        </w:tc>
        <w:tc>
          <w:tcPr>
            <w:tcW w:type="dxa" w:w="15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Chicago, USA</w:t>
            </w:r>
          </w:p>
        </w:tc>
      </w:tr>
      <w:tr>
        <w:trPr>
          <w:trHeight w:hRule="exact" w:val="378"/>
        </w:trPr>
        <w:tc>
          <w:tcPr>
            <w:tcW w:type="dxa" w:w="9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month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 modeling techniques, competitive benchmarking, and financial forecasting to identify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growth opportunities...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strategic initiatives to optimize operational efficiency, employing process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improvement methodologies, stakeholder engagement, and performance metrics tracking to </w:t>
      </w:r>
      <w:r>
        <w:rPr>
          <w:rFonts w:ascii="Times" w:hAnsi="Times" w:eastAsia="Times"/>
          <w:b w:val="0"/>
          <w:i w:val="0"/>
          <w:color w:val="000000"/>
          <w:sz w:val="19"/>
        </w:rPr>
        <w:t>achieve a 15% increase in productivity...</w:t>
      </w:r>
    </w:p>
    <w:p>
      <w:pPr>
        <w:autoSpaceDN w:val="0"/>
        <w:autoSpaceDE w:val="0"/>
        <w:widowControl/>
        <w:spacing w:line="232" w:lineRule="exact" w:before="4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Led a cross-functional team in the implementation of a new data visualization platform,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enhancing decision-making capabilities through real-time analytics, dashboard creation, and </w:t>
      </w:r>
      <w:r>
        <w:rPr>
          <w:rFonts w:ascii="Times" w:hAnsi="Times" w:eastAsia="Times"/>
          <w:b w:val="0"/>
          <w:i w:val="0"/>
          <w:color w:val="000000"/>
          <w:sz w:val="19"/>
        </w:rPr>
        <w:t>user training sessions...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Rerum inventore itaq (Deserunt nihil aliqu)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Incidunt ex fugit (Quo rerum non pariat), Quo voluptates ratio (Quas nostrud praesen), Excel (advanced), Python </w:t>
      </w:r>
      <w:r>
        <w:rPr>
          <w:rFonts w:ascii="Times" w:hAnsi="Times" w:eastAsia="Times"/>
          <w:b w:val="0"/>
          <w:i w:val="0"/>
          <w:color w:val="000000"/>
          <w:sz w:val="19"/>
        </w:rPr>
        <w:t>(basics), Tableau, SQL, Power BI, Alteryx (basics)</w:t>
      </w:r>
    </w:p>
    <w:p>
      <w:pPr>
        <w:autoSpaceDN w:val="0"/>
        <w:autoSpaceDE w:val="0"/>
        <w:widowControl/>
        <w:spacing w:line="26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Asperiores ad minima: Coordinated a series of workshops on financial literacy, impacting over 200 participants and </w:t>
      </w:r>
      <w:r>
        <w:rPr>
          <w:rFonts w:ascii="Times" w:hAnsi="Times" w:eastAsia="Times"/>
          <w:b w:val="0"/>
          <w:i w:val="0"/>
          <w:color w:val="000000"/>
          <w:sz w:val="19"/>
        </w:rPr>
        <w:t>enhancing community engagement...</w:t>
      </w:r>
    </w:p>
    <w:p>
      <w:pPr>
        <w:autoSpaceDN w:val="0"/>
        <w:autoSpaceDE w:val="0"/>
        <w:widowControl/>
        <w:spacing w:line="232" w:lineRule="exact" w:before="5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Sequi modi sunt nost: Organized annual charity events, raising over $10,000 for local non-profits and fostering strong </w:t>
      </w:r>
      <w:r>
        <w:rPr>
          <w:rFonts w:ascii="Times" w:hAnsi="Times" w:eastAsia="Times"/>
          <w:b w:val="0"/>
          <w:i w:val="0"/>
          <w:color w:val="000000"/>
          <w:sz w:val="19"/>
        </w:rPr>
        <w:t>community partnerships...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irapupy@mailinat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