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434"/>
        </w:trPr>
        <w:tc>
          <w:tcPr>
            <w:tcW w:type="dxa" w:w="91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9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Sit ad magnam dolor Dolores voluptate en</w:t>
            </w:r>
          </w:p>
        </w:tc>
        <w:tc>
          <w:tcPr>
            <w:tcW w:type="dxa" w:w="15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4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0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Culpa et amet dolor • 10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nuvisidu@mailinator.com</w:t>
                </w:r>
              </w:hyperlink>
            </w:r>
          </w:p>
        </w:tc>
        <w:tc>
          <w:tcPr>
            <w:tcW w:type="dxa" w:w="356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91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4" w:after="0"/>
              <w:ind w:left="1288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Ea in aliquip nostru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Consequatur Reprehe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Quis non velit reru</w:t>
            </w:r>
          </w:p>
        </w:tc>
        <w:tc>
          <w:tcPr>
            <w:tcW w:type="dxa" w:w="15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</w:tbl>
    <w:p>
      <w:pPr>
        <w:autoSpaceDN w:val="0"/>
        <w:autoSpaceDE w:val="0"/>
        <w:widowControl/>
        <w:spacing w:line="218" w:lineRule="exact" w:before="24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Statistics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Contract Law (méthodes avancées, études de cas pratiques)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 2026</w:t>
            </w:r>
          </w:p>
        </w:tc>
        <w:tc>
          <w:tcPr>
            <w:tcW w:type="dxa" w:w="82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368" w:after="0"/>
              <w:ind w:left="30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Nesciunt eius conse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Eiusmod esse aut non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firm in Chicago, identifying key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  <w:tr>
        <w:trPr>
          <w:trHeight w:hRule="exact" w:val="378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month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trends and opportunities in the sector..., avec coordination d'équipes pluridisciplinaires et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financial models to support strategic decision-making, utilizing advanced Excel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techniques and scenario analysis..., avec coordination d'équipes pluridisciplinaires et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projets transverses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Coordinated stakeholder engagement sessions, ensuring alignment on project objectives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facilitating effective communication...,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Nulla quia error exe (Tenetur itaque adipi)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 (intermediate), Python (basics), Tableau (basics), SQL (basics), Alteryx (basics), </w:t>
      </w:r>
      <w:r>
        <w:rPr>
          <w:rFonts w:ascii="Times" w:hAnsi="Times" w:eastAsia="Times"/>
          <w:b w:val="0"/>
          <w:i w:val="0"/>
          <w:color w:val="000000"/>
          <w:sz w:val="19"/>
        </w:rPr>
        <w:t>adfadf (adfadsfa), Anim ullam dignissim (Aspernatur consectet)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Asperiores ad minima with a focus on community engagement and leadership development, organizing monthly </w:t>
      </w:r>
      <w:r>
        <w:rPr>
          <w:rFonts w:ascii="Times" w:hAnsi="Times" w:eastAsia="Times"/>
          <w:b w:val="0"/>
          <w:i w:val="0"/>
          <w:color w:val="000000"/>
          <w:sz w:val="19"/>
        </w:rPr>
        <w:t>workshops...</w:t>
      </w:r>
    </w:p>
    <w:p>
      <w:pPr>
        <w:autoSpaceDN w:val="0"/>
        <w:autoSpaceDE w:val="0"/>
        <w:widowControl/>
        <w:spacing w:line="230" w:lineRule="exact" w:before="52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Sequi modi sunt nost, actively participating in cultural events and contributing to the planning and execution of </w:t>
      </w:r>
      <w:r>
        <w:rPr>
          <w:rFonts w:ascii="Times" w:hAnsi="Times" w:eastAsia="Times"/>
          <w:b w:val="0"/>
          <w:i w:val="0"/>
          <w:color w:val="000000"/>
          <w:sz w:val="19"/>
        </w:rPr>
        <w:t>annual festivals...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uvisidu@mailina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