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85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5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5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 1712 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3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1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Los Angeles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276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8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(valuation, capital budgeting), Financial Markets (trading,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risk management), Econometrics (regression analysis, forecasting), Statistics (probability, data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analysis), Business Strategy (competitive analysis, market entry), Accounting (financial reporting, </w:t>
      </w:r>
      <w:r>
        <w:rPr>
          <w:rFonts w:ascii="Times" w:hAnsi="Times" w:eastAsia="Times"/>
          <w:b w:val="0"/>
          <w:i w:val="0"/>
          <w:color w:val="000000"/>
          <w:sz w:val="18"/>
        </w:rPr>
        <w:t>auditing)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4" w:after="0"/>
              <w:ind w:left="462" w:right="23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280"/>
        </w:trPr>
        <w:tc>
          <w:tcPr>
            <w:tcW w:type="dxa" w:w="3566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Corporate Finance (M&amp;A, restructuring), Investment Analysis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(portfolio management, derivatives), Strategic Management (business policy, competitive strategy),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 Analytics (big data, machine learning), Leadership and Organizational Behavior (team dynamics, </w:t>
      </w:r>
      <w:r>
        <w:rPr>
          <w:rFonts w:ascii="Times" w:hAnsi="Times" w:eastAsia="Times"/>
          <w:b w:val="0"/>
          <w:i w:val="0"/>
          <w:color w:val="000000"/>
          <w:sz w:val="18"/>
        </w:rPr>
        <w:t>decision making), Marketing Management (consumer behavior, brand strategy)</w:t>
      </w:r>
    </w:p>
    <w:p>
      <w:pPr>
        <w:autoSpaceDN w:val="0"/>
        <w:autoSpaceDE w:val="0"/>
        <w:widowControl/>
        <w:spacing w:line="304" w:lineRule="exact" w:before="30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46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Nov 2023</w:t>
            </w:r>
          </w:p>
        </w:tc>
        <w:tc>
          <w:tcPr>
            <w:tcW w:type="dxa" w:w="79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64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USA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Analyse financière pour des projets d'investissement (modélisation financière, évaluation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New York, USA</w:t>
            </w:r>
          </w:p>
        </w:tc>
      </w:tr>
      <w:tr>
        <w:trPr>
          <w:trHeight w:hRule="exact" w:val="380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58"/>
        </w:trPr>
        <w:tc>
          <w:tcPr>
            <w:tcW w:type="dxa" w:w="3566"/>
            <w:vMerge/>
            <w:tcBorders/>
          </w:tcPr>
          <w:p/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des risques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6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processus de reporting financier (automatisation des rapports, réduction </w:t>
      </w:r>
      <w:r>
        <w:rPr>
          <w:rFonts w:ascii="Times" w:hAnsi="Times" w:eastAsia="Times"/>
          <w:b w:val="0"/>
          <w:i w:val="0"/>
          <w:color w:val="000000"/>
          <w:sz w:val="19"/>
        </w:rPr>
        <w:t>des délais de 20%</w:t>
      </w:r>
    </w:p>
    <w:p>
      <w:pPr>
        <w:autoSpaceDN w:val="0"/>
        <w:autoSpaceDE w:val="0"/>
        <w:widowControl/>
        <w:spacing w:line="232" w:lineRule="exact" w:before="48" w:after="276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la préparation des présentations pour les réunions trimestrielles avec les </w:t>
      </w:r>
      <w:r>
        <w:rPr>
          <w:rFonts w:ascii="Times" w:hAnsi="Times" w:eastAsia="Times"/>
          <w:b w:val="0"/>
          <w:i w:val="0"/>
          <w:color w:val="000000"/>
          <w:sz w:val="19"/>
        </w:rPr>
        <w:t>parties prenantes clés (visua…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May 2025</w:t>
            </w:r>
          </w:p>
        </w:tc>
        <w:tc>
          <w:tcPr>
            <w:tcW w:type="dxa" w:w="7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2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Telenor Group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Élaboration de modèles financiers pour l'évaluation de projets stratégiques (analyse de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378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3566"/>
            <w:vMerge/>
            <w:tcBorders/>
          </w:tcPr>
          <w:p/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rentabilité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8" w:after="0"/>
        <w:ind w:left="1516" w:right="273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Gestion de la relation avec les parties prenantes internes pour assurer l'alignement </w:t>
      </w:r>
      <w:r>
        <w:rPr>
          <w:rFonts w:ascii="Times" w:hAnsi="Times" w:eastAsia="Times"/>
          <w:b w:val="0"/>
          <w:i w:val="0"/>
          <w:color w:val="000000"/>
          <w:sz w:val="19"/>
        </w:rPr>
        <w:t>stratégique (communication efficace…</w:t>
      </w:r>
    </w:p>
    <w:p>
      <w:pPr>
        <w:autoSpaceDN w:val="0"/>
        <w:autoSpaceDE w:val="0"/>
        <w:widowControl/>
        <w:spacing w:line="254" w:lineRule="exact" w:before="28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Contribution à l'amélioration des systèmes de contrôle interne (identification des faiblesses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0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2025</w:t>
            </w:r>
          </w:p>
        </w:tc>
        <w:tc>
          <w:tcPr>
            <w:tcW w:type="dxa" w:w="7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32" w:after="0"/>
              <w:ind w:left="28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PayPal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Conduite d'analyses financières avancées pour soutenir les décisions stratégiques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38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3566"/>
            <w:vMerge/>
            <w:tcBorders/>
          </w:tcPr>
          <w:p/>
        </w:tc>
        <w:tc>
          <w:tcPr>
            <w:tcW w:type="dxa" w:w="7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(modélisation DCF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Coordination de projets interfonctionnels pour optimiser les processus financiers (réduction </w:t>
      </w:r>
      <w:r>
        <w:rPr>
          <w:rFonts w:ascii="Times" w:hAnsi="Times" w:eastAsia="Times"/>
          <w:b w:val="0"/>
          <w:i w:val="0"/>
          <w:color w:val="000000"/>
          <w:sz w:val="19"/>
        </w:rPr>
        <w:t>des coûts de 15%</w:t>
      </w:r>
    </w:p>
    <w:p>
      <w:pPr>
        <w:autoSpaceDN w:val="0"/>
        <w:autoSpaceDE w:val="0"/>
        <w:widowControl/>
        <w:spacing w:line="232" w:lineRule="exact" w:before="48" w:after="0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Supervision de l'équipe d'analystes pour garantir la qualité et la précision des livrables </w:t>
      </w:r>
      <w:r>
        <w:rPr>
          <w:rFonts w:ascii="Times" w:hAnsi="Times" w:eastAsia="Times"/>
          <w:b w:val="0"/>
          <w:i w:val="0"/>
          <w:color w:val="000000"/>
          <w:sz w:val="19"/>
        </w:rPr>
        <w:t>(formation, mentorat</w:t>
      </w:r>
    </w:p>
    <w:p>
      <w:pPr>
        <w:autoSpaceDN w:val="0"/>
        <w:autoSpaceDE w:val="0"/>
        <w:widowControl/>
        <w:spacing w:line="304" w:lineRule="exact" w:before="3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(fluent, IELTS 8.0), Bengali (native),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Python (Pandas, NumPy) (intermediate), Financial Analysis &amp; Valuation (expert)</w:t>
      </w:r>
    </w:p>
    <w:p>
      <w:pPr>
        <w:autoSpaceDN w:val="0"/>
        <w:autoSpaceDE w:val="0"/>
        <w:widowControl/>
        <w:spacing w:line="266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Trésorier, Florida University Finance Club (gestion des finances, organisation d'événements, coordination des </w:t>
      </w:r>
      <w:r>
        <w:rPr>
          <w:rFonts w:ascii="Times" w:hAnsi="Times" w:eastAsia="Times"/>
          <w:b w:val="0"/>
          <w:i w:val="0"/>
          <w:color w:val="000000"/>
          <w:sz w:val="19"/>
        </w:rPr>
        <w:t>membres)</w:t>
      </w:r>
    </w:p>
    <w:p>
      <w:pPr>
        <w:autoSpaceDN w:val="0"/>
        <w:autoSpaceDE w:val="0"/>
        <w:widowControl/>
        <w:spacing w:line="230" w:lineRule="exact" w:before="52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Membre actif du club de football (participation aux tournois, organisation d'entraînements, développement d'esprit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d'équipe)</w:t>
      </w:r>
    </w:p>
    <w:sectPr w:rsidR="00FC693F" w:rsidRPr="0006063C" w:rsidSect="00034616">
      <w:pgSz w:w="11906" w:h="16838"/>
      <w:pgMar w:top="262" w:right="594" w:bottom="736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