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2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93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4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4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rahim.sheikh@example.com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4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43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4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92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Dean's List (2016-2018)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8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(investment strategies, risk management), Financial Markets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(trading, market analysis), Econometrics (data analysis, regression models), Statistics (probability,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statistical inference), Accounting (financial reporting, auditing), Business Strategy (competitive </w:t>
      </w:r>
      <w:r>
        <w:rPr>
          <w:rFonts w:ascii="Times" w:hAnsi="Times" w:eastAsia="Times"/>
          <w:b w:val="0"/>
          <w:i w:val="0"/>
          <w:color w:val="000000"/>
          <w:sz w:val="18"/>
        </w:rPr>
        <w:t>analysis, strategic planning)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4" w:after="0"/>
              <w:ind w:left="462" w:right="216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80"/>
        </w:trPr>
        <w:tc>
          <w:tcPr>
            <w:tcW w:type="dxa" w:w="3566"/>
            <w:vMerge/>
            <w:tcBorders/>
          </w:tcPr>
          <w:p/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Advanced Corporate Finance (M&amp;A, capital structure), Financial Statement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Analysis (valuation, ratio analysis), Investment Banking (equity, debt markets), Strategic Management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(business models, innovation), Leadership and Ethics (decision making, corporate governance), Data </w:t>
      </w:r>
      <w:r>
        <w:rPr>
          <w:rFonts w:ascii="Times" w:hAnsi="Times" w:eastAsia="Times"/>
          <w:b w:val="0"/>
          <w:i w:val="0"/>
          <w:color w:val="000000"/>
          <w:sz w:val="18"/>
        </w:rPr>
        <w:t>Analytics (big data, predictive modeling)</w:t>
      </w:r>
    </w:p>
    <w:p>
      <w:pPr>
        <w:autoSpaceDN w:val="0"/>
        <w:autoSpaceDE w:val="0"/>
        <w:widowControl/>
        <w:spacing w:line="304" w:lineRule="exact" w:before="30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46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Jul 2018</w:t>
            </w:r>
          </w:p>
        </w:tc>
        <w:tc>
          <w:tcPr>
            <w:tcW w:type="dxa" w:w="81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64" w:after="0"/>
              <w:ind w:left="282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Bangladesh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Analyse financière pour des projets bancaires (modélisation financière, prévisions de flux de</w:t>
            </w:r>
          </w:p>
        </w:tc>
        <w:tc>
          <w:tcPr>
            <w:tcW w:type="dxa" w:w="15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Gulshan, Dhaka</w:t>
            </w:r>
          </w:p>
        </w:tc>
      </w:tr>
      <w:tr>
        <w:trPr>
          <w:trHeight w:hRule="exact" w:val="380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58"/>
        </w:trPr>
        <w:tc>
          <w:tcPr>
            <w:tcW w:type="dxa" w:w="3566"/>
            <w:vMerge/>
            <w:tcBorders/>
          </w:tcPr>
          <w:p/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trésorerie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processus de reporting pour améliorer l'efficacité (réduction du temps de </w:t>
      </w:r>
      <w:r>
        <w:rPr>
          <w:rFonts w:ascii="Times" w:hAnsi="Times" w:eastAsia="Times"/>
          <w:b w:val="0"/>
          <w:i w:val="0"/>
          <w:color w:val="000000"/>
          <w:sz w:val="19"/>
        </w:rPr>
        <w:t>20%</w:t>
      </w:r>
    </w:p>
    <w:p>
      <w:pPr>
        <w:autoSpaceDN w:val="0"/>
        <w:autoSpaceDE w:val="0"/>
        <w:widowControl/>
        <w:spacing w:line="232" w:lineRule="exact" w:before="48" w:after="276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Collaboration avec des équipes interfonctionnelles pour la mise en œuvre de stratégies </w:t>
      </w:r>
      <w:r>
        <w:rPr>
          <w:rFonts w:ascii="Times" w:hAnsi="Times" w:eastAsia="Times"/>
          <w:b w:val="0"/>
          <w:i w:val="0"/>
          <w:color w:val="000000"/>
          <w:sz w:val="19"/>
        </w:rPr>
        <w:t>financières (gestion des parties…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2020</w:t>
            </w:r>
          </w:p>
        </w:tc>
        <w:tc>
          <w:tcPr>
            <w:tcW w:type="dxa" w:w="7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2" w:after="0"/>
              <w:ind w:left="282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Grameenphone Ltd. (Telenor Group)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Réalisation d'analyses financières pour des initiatives stratégiques (analyse de rentabilité,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4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Mohakhali, Dhaka</w:t>
            </w:r>
          </w:p>
        </w:tc>
      </w:tr>
      <w:tr>
        <w:trPr>
          <w:trHeight w:hRule="exact" w:val="378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28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3566"/>
            <w:vMerge/>
            <w:tcBorders/>
          </w:tcPr>
          <w:p/>
        </w:tc>
        <w:tc>
          <w:tcPr>
            <w:tcW w:type="dxa" w:w="7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suivi des KPIs, ...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8" w:after="0"/>
        <w:ind w:left="1516" w:right="259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Développement de modèles financiers pour des projets d'investissement (analyse de </w:t>
      </w:r>
      <w:r>
        <w:rPr>
          <w:rFonts w:ascii="Times" w:hAnsi="Times" w:eastAsia="Times"/>
          <w:b w:val="0"/>
          <w:i w:val="0"/>
          <w:color w:val="000000"/>
          <w:sz w:val="19"/>
        </w:rPr>
        <w:t>scénarios, prévisions, ...</w:t>
      </w:r>
    </w:p>
    <w:p>
      <w:pPr>
        <w:autoSpaceDN w:val="0"/>
        <w:autoSpaceDE w:val="0"/>
        <w:widowControl/>
        <w:spacing w:line="232" w:lineRule="exact" w:before="50" w:after="276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l'élaboration de rapports financiers pour la direction (présentation des </w:t>
      </w:r>
      <w:r>
        <w:rPr>
          <w:rFonts w:ascii="Times" w:hAnsi="Times" w:eastAsia="Times"/>
          <w:b w:val="0"/>
          <w:i w:val="0"/>
          <w:color w:val="000000"/>
          <w:sz w:val="19"/>
        </w:rPr>
        <w:t>résultats, recommandations,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Jan 2023</w:t>
            </w:r>
          </w:p>
        </w:tc>
        <w:tc>
          <w:tcPr>
            <w:tcW w:type="dxa" w:w="7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0" w:val="left"/>
              </w:tabs>
              <w:autoSpaceDE w:val="0"/>
              <w:widowControl/>
              <w:spacing w:line="184" w:lineRule="exact" w:before="140" w:after="0"/>
              <w:ind w:left="102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bKash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Supervision de l'analyse financière pour les projets clés (évaluation des performances,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Banani, Dhaka</w:t>
            </w:r>
          </w:p>
        </w:tc>
      </w:tr>
      <w:tr>
        <w:trPr>
          <w:trHeight w:hRule="exact" w:val="376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Ongoing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7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3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optimisation des coûts, ...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Conception de tableaux de bord pour le suivi des performances financières (Power BI, SQL, </w:t>
      </w:r>
      <w:r>
        <w:rPr>
          <w:rFonts w:ascii="Times" w:hAnsi="Times" w:eastAsia="Times"/>
          <w:b w:val="0"/>
          <w:i w:val="0"/>
          <w:color w:val="000000"/>
          <w:sz w:val="19"/>
        </w:rPr>
        <w:t>...</w:t>
      </w:r>
    </w:p>
    <w:p>
      <w:pPr>
        <w:autoSpaceDN w:val="0"/>
        <w:autoSpaceDE w:val="0"/>
        <w:widowControl/>
        <w:spacing w:line="232" w:lineRule="exact" w:before="48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Gestion de l'équipe d'analystes pour la réalisation des objectifs financiers (coordination, </w:t>
      </w:r>
      <w:r>
        <w:rPr>
          <w:rFonts w:ascii="Times" w:hAnsi="Times" w:eastAsia="Times"/>
          <w:b w:val="0"/>
          <w:i w:val="0"/>
          <w:color w:val="000000"/>
          <w:sz w:val="19"/>
        </w:rPr>
        <w:t>formation, ...</w:t>
      </w:r>
    </w:p>
    <w:p>
      <w:pPr>
        <w:autoSpaceDN w:val="0"/>
        <w:autoSpaceDE w:val="0"/>
        <w:widowControl/>
        <w:spacing w:line="304" w:lineRule="exact" w:before="3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Bengali (langue maternelle), English (courant, IELTS 8.0), French (intermédiaire, B1)</w:t>
      </w:r>
    </w:p>
    <w:p>
      <w:pPr>
        <w:autoSpaceDN w:val="0"/>
        <w:autoSpaceDE w:val="0"/>
        <w:widowControl/>
        <w:spacing w:line="220" w:lineRule="exact" w:before="6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(avancé), SQL (intermédiaire), Python </w:t>
      </w:r>
      <w:r>
        <w:rPr>
          <w:rFonts w:ascii="Times" w:hAnsi="Times" w:eastAsia="Times"/>
          <w:b w:val="0"/>
          <w:i w:val="0"/>
          <w:color w:val="000000"/>
          <w:sz w:val="19"/>
        </w:rPr>
        <w:t>(Pandas, NumPy) (intermédiaire), Financial Analysis &amp; Valuation (expert)</w:t>
      </w:r>
    </w:p>
    <w:p>
      <w:pPr>
        <w:autoSpaceDN w:val="0"/>
        <w:autoSpaceDE w:val="0"/>
        <w:widowControl/>
        <w:spacing w:line="306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4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Trésorier, Dhaka University Finance Club (gestion des fonds, organisation d'événements financiers)</w:t>
      </w:r>
    </w:p>
    <w:p>
      <w:pPr>
        <w:autoSpaceDN w:val="0"/>
        <w:autoSpaceDE w:val="0"/>
        <w:widowControl/>
        <w:spacing w:line="232" w:lineRule="exact" w:before="52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Formateur bénévole en littératie financière, JAAGO Foundation (sessions de formation, développement de matériel </w:t>
      </w:r>
      <w:r>
        <w:rPr>
          <w:rFonts w:ascii="Times" w:hAnsi="Times" w:eastAsia="Times"/>
          <w:b w:val="0"/>
          <w:i w:val="0"/>
          <w:color w:val="000000"/>
          <w:sz w:val="19"/>
        </w:rPr>
        <w:t>pédagogique)</w:t>
      </w:r>
    </w:p>
    <w:sectPr w:rsidR="00FC693F" w:rsidRPr="0006063C" w:rsidSect="00034616">
      <w:pgSz w:w="11906" w:h="16838"/>
      <w:pgMar w:top="262" w:right="594" w:bottom="878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ahim.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