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74"/>
        <w:ind w:left="1288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Finance, Financial Markets, Econometrics, Statistics, Business </w:t>
      </w:r>
      <w:r>
        <w:rPr>
          <w:rFonts w:ascii="Times" w:hAnsi="Times" w:eastAsia="Times"/>
          <w:b w:val="0"/>
          <w:i w:val="0"/>
          <w:color w:val="000000"/>
          <w:sz w:val="18"/>
        </w:rPr>
        <w:t>Strategy, Marketing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4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98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2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Finance, Investment Analysis, Strategic Management, Data </w:t>
      </w:r>
      <w:r>
        <w:rPr>
          <w:rFonts w:ascii="Times" w:hAnsi="Times" w:eastAsia="Times"/>
          <w:b w:val="0"/>
          <w:i w:val="0"/>
          <w:color w:val="000000"/>
          <w:sz w:val="18"/>
        </w:rPr>
        <w:t>Analytics, Leadership and Ethics, International Business</w:t>
      </w:r>
    </w:p>
    <w:p>
      <w:pPr>
        <w:autoSpaceDN w:val="0"/>
        <w:autoSpaceDE w:val="0"/>
        <w:widowControl/>
        <w:spacing w:line="304" w:lineRule="exact" w:before="3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8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6" w:after="0"/>
              <w:ind w:left="28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Analyse de données financières pour des rapports trimestriels avec l'utilisation d'Excel</w:t>
            </w:r>
          </w:p>
        </w:tc>
        <w:tc>
          <w:tcPr>
            <w:tcW w:type="dxa" w:w="18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8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avancé, Power BI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l'élaboration de modèles financiers pour des projets d'investissement, </w:t>
      </w:r>
      <w:r>
        <w:rPr>
          <w:rFonts w:ascii="Times" w:hAnsi="Times" w:eastAsia="Times"/>
          <w:b w:val="0"/>
          <w:i w:val="0"/>
          <w:color w:val="000000"/>
          <w:sz w:val="19"/>
        </w:rPr>
        <w:t>intégrant des analyses de marché</w:t>
      </w:r>
    </w:p>
    <w:p>
      <w:pPr>
        <w:autoSpaceDN w:val="0"/>
        <w:autoSpaceDE w:val="0"/>
        <w:widowControl/>
        <w:spacing w:line="232" w:lineRule="exact" w:before="48" w:after="276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une équipe de 5 analystes pour optimiser les processus de reporting </w:t>
      </w:r>
      <w:r>
        <w:rPr>
          <w:rFonts w:ascii="Times" w:hAnsi="Times" w:eastAsia="Times"/>
          <w:b w:val="0"/>
          <w:i w:val="0"/>
          <w:color w:val="000000"/>
          <w:sz w:val="19"/>
        </w:rPr>
        <w:t>financier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6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4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d'analyses de rentabilité pour des projets stratégiques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0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de tableaux de bord interactifs avec Power BI pour visualiser les indicateurs </w:t>
      </w:r>
      <w:r>
        <w:rPr>
          <w:rFonts w:ascii="Times" w:hAnsi="Times" w:eastAsia="Times"/>
          <w:b w:val="0"/>
          <w:i w:val="0"/>
          <w:color w:val="000000"/>
          <w:sz w:val="19"/>
        </w:rPr>
        <w:t>clés de performance</w:t>
      </w:r>
    </w:p>
    <w:p>
      <w:pPr>
        <w:autoSpaceDN w:val="0"/>
        <w:autoSpaceDE w:val="0"/>
        <w:widowControl/>
        <w:spacing w:line="254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de la mise en œuvre de nouvelles politiques financières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Conduite d'analyses financières approfondies pour des initiatives de croissance, incluant des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378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évaluations de marché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d'optimisation de capital de travail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Supervision de l'élaboration de rapports financiers mensuels pour la direction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Trésorier, Florida University Finance Club (gestion de budget, organisation d'événements financiers,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d'équipes)</w:t>
      </w:r>
    </w:p>
    <w:p>
      <w:pPr>
        <w:autoSpaceDN w:val="0"/>
        <w:autoSpaceDE w:val="0"/>
        <w:widowControl/>
        <w:spacing w:line="232" w:lineRule="exact" w:before="48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Formateur bénévole en littératie financière, JAAGO Foundation (sensibilisation, ateliers éducatifs, impact </w:t>
      </w:r>
      <w:r>
        <w:rPr>
          <w:rFonts w:ascii="Times" w:hAnsi="Times" w:eastAsia="Times"/>
          <w:b w:val="0"/>
          <w:i w:val="0"/>
          <w:color w:val="000000"/>
          <w:sz w:val="19"/>
        </w:rPr>
        <w:t>communautaire)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