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p>
      <w:pPr>
        <w:autoSpaceDN w:val="0"/>
        <w:autoSpaceDE w:val="0"/>
        <w:widowControl/>
        <w:spacing w:line="230" w:lineRule="exact" w:before="52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se concentrant sur l'innovation technologique et la résolution de problèmes </w:t>
      </w:r>
      <w:r>
        <w:rPr>
          <w:rFonts w:ascii="Times" w:hAnsi="Times" w:eastAsia="Times"/>
          <w:b w:val="0"/>
          <w:i w:val="0"/>
          <w:color w:val="000000"/>
          <w:sz w:val="19"/>
        </w:rPr>
        <w:t>complexes en équipe...</w:t>
      </w:r>
    </w:p>
    <w:p>
      <w:pPr>
        <w:autoSpaceDN w:val="0"/>
        <w:autoSpaceDE w:val="0"/>
        <w:widowControl/>
        <w:spacing w:line="232" w:lineRule="exact" w:before="50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 club de lecture technologique, explorant les dernières tendances en intelligence artificielle et en </w:t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logiciel...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